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EA8B7" w14:textId="77777777" w:rsidR="006D0621" w:rsidRPr="00D4433B" w:rsidRDefault="006D0621" w:rsidP="006D0621">
      <w:pPr>
        <w:jc w:val="center"/>
        <w:rPr>
          <w:lang w:val="ro-RO"/>
        </w:rPr>
      </w:pPr>
    </w:p>
    <w:p w14:paraId="7B8B49E5" w14:textId="77777777" w:rsidR="000E1EED" w:rsidRPr="00D4433B" w:rsidRDefault="000E1EED" w:rsidP="006D0621">
      <w:pPr>
        <w:jc w:val="center"/>
        <w:rPr>
          <w:lang w:val="ro-RO"/>
        </w:rPr>
      </w:pPr>
    </w:p>
    <w:p w14:paraId="299ED918" w14:textId="77777777" w:rsidR="000E1EED" w:rsidRPr="00D4433B" w:rsidRDefault="000E1EED" w:rsidP="006D0621">
      <w:pPr>
        <w:jc w:val="center"/>
        <w:rPr>
          <w:lang w:val="ro-RO"/>
        </w:rPr>
      </w:pPr>
    </w:p>
    <w:p w14:paraId="4DFB2DC8" w14:textId="44F502F8" w:rsidR="004E1C57" w:rsidRPr="00D4433B" w:rsidRDefault="002C4773" w:rsidP="004E1C57">
      <w:pPr>
        <w:tabs>
          <w:tab w:val="left" w:pos="5529"/>
        </w:tabs>
        <w:jc w:val="center"/>
        <w:rPr>
          <w:lang w:val="ro-RO"/>
        </w:rPr>
      </w:pPr>
      <w:r w:rsidRPr="00D4433B">
        <w:rPr>
          <w:lang w:val="ro-RO"/>
        </w:rPr>
        <w:t>SECȚIA A IV A</w:t>
      </w:r>
    </w:p>
    <w:p w14:paraId="3818371C" w14:textId="77777777" w:rsidR="004E1C57" w:rsidRPr="00D4433B" w:rsidRDefault="004E1C57" w:rsidP="004E1C57">
      <w:pPr>
        <w:jc w:val="center"/>
        <w:rPr>
          <w:lang w:val="ro-RO"/>
        </w:rPr>
      </w:pPr>
    </w:p>
    <w:p w14:paraId="140704C4" w14:textId="77777777" w:rsidR="004E1C57" w:rsidRPr="00D4433B" w:rsidRDefault="004E1C57" w:rsidP="004E1C57">
      <w:pPr>
        <w:jc w:val="center"/>
        <w:rPr>
          <w:lang w:val="ro-RO"/>
        </w:rPr>
      </w:pPr>
    </w:p>
    <w:p w14:paraId="6C4E93A4" w14:textId="77777777" w:rsidR="004E1C57" w:rsidRPr="00D4433B" w:rsidRDefault="004E1C57" w:rsidP="004E1C57">
      <w:pPr>
        <w:jc w:val="center"/>
        <w:rPr>
          <w:lang w:val="ro-RO"/>
        </w:rPr>
      </w:pPr>
    </w:p>
    <w:p w14:paraId="1D82DC83" w14:textId="77777777" w:rsidR="004E1C57" w:rsidRPr="00D4433B" w:rsidRDefault="004E1C57" w:rsidP="004E1C57">
      <w:pPr>
        <w:jc w:val="center"/>
        <w:rPr>
          <w:lang w:val="ro-RO"/>
        </w:rPr>
      </w:pPr>
    </w:p>
    <w:p w14:paraId="405250A7" w14:textId="64661121" w:rsidR="004E1C57" w:rsidRPr="00D4433B" w:rsidRDefault="004E1C57" w:rsidP="004E1C57">
      <w:pPr>
        <w:jc w:val="center"/>
        <w:outlineLvl w:val="0"/>
        <w:rPr>
          <w:b/>
          <w:lang w:val="ro-RO"/>
        </w:rPr>
      </w:pPr>
      <w:bookmarkStart w:id="0" w:name="_Hlk66998519"/>
      <w:r w:rsidRPr="00D4433B">
        <w:rPr>
          <w:b/>
          <w:lang w:val="ro-RO"/>
        </w:rPr>
        <w:t>CA</w:t>
      </w:r>
      <w:r w:rsidR="002C4773" w:rsidRPr="00D4433B">
        <w:rPr>
          <w:b/>
          <w:lang w:val="ro-RO"/>
        </w:rPr>
        <w:t xml:space="preserve">ZUL </w:t>
      </w:r>
      <w:proofErr w:type="spellStart"/>
      <w:r w:rsidRPr="00D4433B">
        <w:rPr>
          <w:b/>
          <w:lang w:val="ro-RO"/>
        </w:rPr>
        <w:t>W</w:t>
      </w:r>
      <w:r w:rsidR="00B41CDF" w:rsidRPr="00D4433B">
        <w:rPr>
          <w:b/>
          <w:lang w:val="ro-RO"/>
        </w:rPr>
        <w:t>Ę</w:t>
      </w:r>
      <w:r w:rsidRPr="00D4433B">
        <w:rPr>
          <w:b/>
          <w:lang w:val="ro-RO"/>
        </w:rPr>
        <w:t>GRZYNOWSKI</w:t>
      </w:r>
      <w:proofErr w:type="spellEnd"/>
      <w:r w:rsidRPr="00D4433B">
        <w:rPr>
          <w:b/>
          <w:lang w:val="ro-RO"/>
        </w:rPr>
        <w:t xml:space="preserve"> </w:t>
      </w:r>
      <w:r w:rsidR="002C4773" w:rsidRPr="00D4433B">
        <w:rPr>
          <w:b/>
          <w:lang w:val="ro-RO"/>
        </w:rPr>
        <w:t xml:space="preserve">ȘI </w:t>
      </w:r>
      <w:proofErr w:type="spellStart"/>
      <w:r w:rsidRPr="00D4433B">
        <w:rPr>
          <w:b/>
          <w:lang w:val="ro-RO"/>
        </w:rPr>
        <w:t>SMOLCZEWSKI</w:t>
      </w:r>
      <w:proofErr w:type="spellEnd"/>
      <w:r w:rsidRPr="00D4433B">
        <w:rPr>
          <w:b/>
          <w:lang w:val="ro-RO"/>
        </w:rPr>
        <w:t xml:space="preserve"> </w:t>
      </w:r>
      <w:r w:rsidR="002C4773" w:rsidRPr="00D4433B">
        <w:rPr>
          <w:b/>
          <w:lang w:val="ro-RO"/>
        </w:rPr>
        <w:t xml:space="preserve">ÎMPOTRIVA </w:t>
      </w:r>
      <w:r w:rsidRPr="00D4433B">
        <w:rPr>
          <w:b/>
          <w:lang w:val="ro-RO"/>
        </w:rPr>
        <w:t>POL</w:t>
      </w:r>
      <w:r w:rsidR="002C4773" w:rsidRPr="00D4433B">
        <w:rPr>
          <w:b/>
          <w:lang w:val="ro-RO"/>
        </w:rPr>
        <w:t>ONIEI</w:t>
      </w:r>
    </w:p>
    <w:bookmarkEnd w:id="0"/>
    <w:p w14:paraId="30ECDFF3" w14:textId="77777777" w:rsidR="004E1C57" w:rsidRPr="00D4433B" w:rsidRDefault="004E1C57" w:rsidP="004E1C57">
      <w:pPr>
        <w:jc w:val="center"/>
        <w:rPr>
          <w:lang w:val="ro-RO"/>
        </w:rPr>
      </w:pPr>
    </w:p>
    <w:p w14:paraId="0A58397C" w14:textId="733C62A8" w:rsidR="004E1C57" w:rsidRPr="00D4433B" w:rsidRDefault="004E1C57" w:rsidP="004E1C57">
      <w:pPr>
        <w:jc w:val="center"/>
        <w:rPr>
          <w:i/>
          <w:lang w:val="ro-RO"/>
        </w:rPr>
      </w:pPr>
      <w:r w:rsidRPr="00D4433B">
        <w:rPr>
          <w:i/>
          <w:lang w:val="ro-RO"/>
        </w:rPr>
        <w:t>(</w:t>
      </w:r>
      <w:r w:rsidR="002C4773" w:rsidRPr="00D4433B">
        <w:rPr>
          <w:i/>
          <w:lang w:val="ro-RO"/>
        </w:rPr>
        <w:t xml:space="preserve">Cererea </w:t>
      </w:r>
      <w:r w:rsidRPr="00D4433B">
        <w:rPr>
          <w:i/>
          <w:lang w:val="ro-RO"/>
        </w:rPr>
        <w:t>n</w:t>
      </w:r>
      <w:r w:rsidR="002C4773" w:rsidRPr="00D4433B">
        <w:rPr>
          <w:i/>
          <w:lang w:val="ro-RO"/>
        </w:rPr>
        <w:t>r</w:t>
      </w:r>
      <w:r w:rsidRPr="00D4433B">
        <w:rPr>
          <w:i/>
          <w:lang w:val="ro-RO"/>
        </w:rPr>
        <w:t>. 33846/07)</w:t>
      </w:r>
    </w:p>
    <w:p w14:paraId="75A1F31B" w14:textId="77777777" w:rsidR="004E1C57" w:rsidRPr="00D4433B" w:rsidRDefault="004E1C57" w:rsidP="004E1C57">
      <w:pPr>
        <w:jc w:val="center"/>
        <w:rPr>
          <w:lang w:val="ro-RO"/>
        </w:rPr>
      </w:pPr>
    </w:p>
    <w:p w14:paraId="60F84153" w14:textId="77777777" w:rsidR="004E1C57" w:rsidRPr="00D4433B" w:rsidRDefault="004E1C57" w:rsidP="004E1C57">
      <w:pPr>
        <w:jc w:val="center"/>
        <w:rPr>
          <w:lang w:val="ro-RO"/>
        </w:rPr>
      </w:pPr>
    </w:p>
    <w:p w14:paraId="2EEF0A5C" w14:textId="77777777" w:rsidR="004E1C57" w:rsidRPr="00D4433B" w:rsidRDefault="004E1C57" w:rsidP="004E1C57">
      <w:pPr>
        <w:jc w:val="center"/>
        <w:rPr>
          <w:lang w:val="ro-RO"/>
        </w:rPr>
      </w:pPr>
    </w:p>
    <w:p w14:paraId="236D32E8" w14:textId="77777777" w:rsidR="004E1C57" w:rsidRPr="00D4433B" w:rsidRDefault="004E1C57" w:rsidP="004E1C57">
      <w:pPr>
        <w:jc w:val="center"/>
        <w:rPr>
          <w:lang w:val="ro-RO"/>
        </w:rPr>
      </w:pPr>
    </w:p>
    <w:p w14:paraId="2F46ACB3" w14:textId="77777777" w:rsidR="004E1C57" w:rsidRPr="00D4433B" w:rsidRDefault="004E1C57" w:rsidP="004E1C57">
      <w:pPr>
        <w:jc w:val="center"/>
        <w:rPr>
          <w:lang w:val="ro-RO"/>
        </w:rPr>
      </w:pPr>
    </w:p>
    <w:p w14:paraId="455C0E44" w14:textId="77777777" w:rsidR="004E1C57" w:rsidRPr="00D4433B" w:rsidRDefault="004E1C57" w:rsidP="004E1C57">
      <w:pPr>
        <w:jc w:val="center"/>
        <w:rPr>
          <w:lang w:val="ro-RO"/>
        </w:rPr>
      </w:pPr>
    </w:p>
    <w:p w14:paraId="779C2C3A" w14:textId="23C7F34C" w:rsidR="004E1C57" w:rsidRPr="00D4433B" w:rsidRDefault="002C4773" w:rsidP="004E1C57">
      <w:pPr>
        <w:jc w:val="center"/>
        <w:outlineLvl w:val="0"/>
        <w:rPr>
          <w:lang w:val="ro-RO"/>
        </w:rPr>
      </w:pPr>
      <w:r w:rsidRPr="00D4433B">
        <w:rPr>
          <w:lang w:val="ro-RO"/>
        </w:rPr>
        <w:t>HOTĂRÂRE JUDECĂTOREASCĂ</w:t>
      </w:r>
    </w:p>
    <w:p w14:paraId="3D59B1FE" w14:textId="77777777" w:rsidR="004E1C57" w:rsidRPr="00D4433B" w:rsidRDefault="004E1C57" w:rsidP="004E1C57">
      <w:pPr>
        <w:jc w:val="center"/>
        <w:rPr>
          <w:i/>
          <w:lang w:val="ro-RO"/>
        </w:rPr>
      </w:pPr>
    </w:p>
    <w:p w14:paraId="350E401B" w14:textId="77777777" w:rsidR="004E1C57" w:rsidRPr="00D4433B" w:rsidRDefault="004E1C57" w:rsidP="004E1C57">
      <w:pPr>
        <w:jc w:val="center"/>
        <w:rPr>
          <w:i/>
          <w:lang w:val="ro-RO"/>
        </w:rPr>
      </w:pPr>
    </w:p>
    <w:p w14:paraId="7EBE15AF" w14:textId="77777777" w:rsidR="004E1C57" w:rsidRPr="00D4433B" w:rsidRDefault="004E1C57" w:rsidP="004E1C57">
      <w:pPr>
        <w:jc w:val="center"/>
        <w:outlineLvl w:val="0"/>
        <w:rPr>
          <w:lang w:val="ro-RO"/>
        </w:rPr>
      </w:pPr>
      <w:r w:rsidRPr="00D4433B">
        <w:rPr>
          <w:lang w:val="ro-RO"/>
        </w:rPr>
        <w:t>STRASBOURG</w:t>
      </w:r>
    </w:p>
    <w:p w14:paraId="5D52DE85" w14:textId="77777777" w:rsidR="004E1C57" w:rsidRPr="00D4433B" w:rsidRDefault="004E1C57" w:rsidP="004E1C57">
      <w:pPr>
        <w:jc w:val="center"/>
        <w:rPr>
          <w:lang w:val="ro-RO"/>
        </w:rPr>
      </w:pPr>
    </w:p>
    <w:p w14:paraId="4F2F8F93" w14:textId="00B93228" w:rsidR="004E1C57" w:rsidRPr="00D4433B" w:rsidRDefault="004E1C57" w:rsidP="004E1C57">
      <w:pPr>
        <w:jc w:val="center"/>
        <w:rPr>
          <w:lang w:val="ro-RO"/>
        </w:rPr>
      </w:pPr>
      <w:r w:rsidRPr="00D4433B">
        <w:rPr>
          <w:lang w:val="ro-RO"/>
        </w:rPr>
        <w:t xml:space="preserve">16 </w:t>
      </w:r>
      <w:r w:rsidR="002C4773" w:rsidRPr="00D4433B">
        <w:rPr>
          <w:lang w:val="ro-RO"/>
        </w:rPr>
        <w:t>iulie</w:t>
      </w:r>
      <w:r w:rsidRPr="00D4433B">
        <w:rPr>
          <w:lang w:val="ro-RO"/>
        </w:rPr>
        <w:t xml:space="preserve"> 2013</w:t>
      </w:r>
    </w:p>
    <w:p w14:paraId="6EA3CC85" w14:textId="77777777" w:rsidR="000E1EED" w:rsidRPr="00D4433B" w:rsidRDefault="000E1EED" w:rsidP="000E1EED">
      <w:pPr>
        <w:pStyle w:val="JuCase"/>
        <w:ind w:firstLine="0"/>
        <w:jc w:val="center"/>
        <w:rPr>
          <w:b w:val="0"/>
          <w:lang w:val="ro-RO"/>
        </w:rPr>
      </w:pPr>
    </w:p>
    <w:p w14:paraId="1CEA0D85" w14:textId="77777777" w:rsidR="009B760A" w:rsidRPr="00D4433B" w:rsidRDefault="009B760A" w:rsidP="009B760A">
      <w:pPr>
        <w:pStyle w:val="JuPara"/>
        <w:rPr>
          <w:lang w:val="ro-RO"/>
        </w:rPr>
      </w:pPr>
    </w:p>
    <w:p w14:paraId="5A155CE4" w14:textId="6869AB55" w:rsidR="0017292E" w:rsidRPr="00D4433B" w:rsidRDefault="002C4773" w:rsidP="0017292E">
      <w:pPr>
        <w:pStyle w:val="jucase0"/>
        <w:ind w:firstLine="0"/>
        <w:jc w:val="center"/>
        <w:rPr>
          <w:color w:val="FF0000"/>
          <w:sz w:val="28"/>
          <w:szCs w:val="28"/>
          <w:u w:val="single"/>
          <w:lang w:val="ro-RO"/>
        </w:rPr>
      </w:pPr>
      <w:r w:rsidRPr="00D4433B">
        <w:rPr>
          <w:color w:val="FF0000"/>
          <w:sz w:val="28"/>
          <w:szCs w:val="28"/>
          <w:u w:val="single"/>
          <w:lang w:val="ro-RO"/>
        </w:rPr>
        <w:t>DEFINITIVĂ</w:t>
      </w:r>
    </w:p>
    <w:p w14:paraId="00996BCD" w14:textId="77777777" w:rsidR="0017292E" w:rsidRPr="00D4433B" w:rsidRDefault="0017292E" w:rsidP="0017292E">
      <w:pPr>
        <w:pStyle w:val="jupara0"/>
        <w:ind w:firstLine="0"/>
        <w:rPr>
          <w:color w:val="FF0000"/>
          <w:sz w:val="28"/>
          <w:szCs w:val="28"/>
          <w:lang w:val="ro-RO"/>
        </w:rPr>
      </w:pPr>
    </w:p>
    <w:p w14:paraId="18C94A34" w14:textId="77777777" w:rsidR="0017292E" w:rsidRPr="00D4433B" w:rsidRDefault="0017292E" w:rsidP="0017292E">
      <w:pPr>
        <w:pStyle w:val="jupara0"/>
        <w:ind w:firstLine="0"/>
        <w:jc w:val="center"/>
        <w:rPr>
          <w:color w:val="FF0000"/>
          <w:sz w:val="28"/>
          <w:szCs w:val="28"/>
          <w:lang w:val="ro-RO"/>
        </w:rPr>
      </w:pPr>
      <w:r w:rsidRPr="00D4433B">
        <w:rPr>
          <w:color w:val="FF0000"/>
          <w:sz w:val="28"/>
          <w:szCs w:val="28"/>
          <w:lang w:val="ro-RO"/>
        </w:rPr>
        <w:t>16/10/2013</w:t>
      </w:r>
    </w:p>
    <w:p w14:paraId="7D305F3D" w14:textId="77777777" w:rsidR="0017292E" w:rsidRPr="00D4433B" w:rsidRDefault="0017292E" w:rsidP="0017292E">
      <w:pPr>
        <w:pStyle w:val="jupara0"/>
        <w:ind w:firstLine="0"/>
        <w:jc w:val="center"/>
        <w:rPr>
          <w:lang w:val="ro-RO"/>
        </w:rPr>
      </w:pPr>
    </w:p>
    <w:p w14:paraId="43C2B543" w14:textId="1AC03F61" w:rsidR="0017292E" w:rsidRPr="00D4433B" w:rsidRDefault="002C4773" w:rsidP="0017292E">
      <w:pPr>
        <w:rPr>
          <w:i/>
          <w:iCs/>
          <w:sz w:val="22"/>
          <w:szCs w:val="22"/>
          <w:lang w:val="ro-RO"/>
        </w:rPr>
      </w:pPr>
      <w:r w:rsidRPr="00D4433B">
        <w:rPr>
          <w:i/>
          <w:iCs/>
          <w:sz w:val="22"/>
          <w:szCs w:val="22"/>
          <w:lang w:val="ro-RO"/>
        </w:rPr>
        <w:t xml:space="preserve">Această hotărâre a devenit definitivă conform </w:t>
      </w:r>
      <w:r w:rsidR="0017292E" w:rsidRPr="00D4433B">
        <w:rPr>
          <w:i/>
          <w:iCs/>
          <w:sz w:val="22"/>
          <w:szCs w:val="22"/>
          <w:lang w:val="ro-RO"/>
        </w:rPr>
        <w:t>Artic</w:t>
      </w:r>
      <w:r w:rsidRPr="00D4433B">
        <w:rPr>
          <w:i/>
          <w:iCs/>
          <w:sz w:val="22"/>
          <w:szCs w:val="22"/>
          <w:lang w:val="ro-RO"/>
        </w:rPr>
        <w:t>olului</w:t>
      </w:r>
      <w:r w:rsidR="0017292E" w:rsidRPr="00D4433B">
        <w:rPr>
          <w:i/>
          <w:iCs/>
          <w:sz w:val="22"/>
          <w:szCs w:val="22"/>
          <w:lang w:val="ro-RO"/>
        </w:rPr>
        <w:t xml:space="preserve"> 44 § 2 </w:t>
      </w:r>
      <w:r w:rsidR="003D7FA6" w:rsidRPr="00D4433B">
        <w:rPr>
          <w:i/>
          <w:iCs/>
          <w:sz w:val="22"/>
          <w:szCs w:val="22"/>
          <w:lang w:val="ro-RO"/>
        </w:rPr>
        <w:t xml:space="preserve">din </w:t>
      </w:r>
      <w:r w:rsidR="0017292E" w:rsidRPr="00D4433B">
        <w:rPr>
          <w:i/>
          <w:iCs/>
          <w:sz w:val="22"/>
          <w:szCs w:val="22"/>
          <w:lang w:val="ro-RO"/>
        </w:rPr>
        <w:t>Conven</w:t>
      </w:r>
      <w:r w:rsidR="003D7FA6" w:rsidRPr="00D4433B">
        <w:rPr>
          <w:i/>
          <w:iCs/>
          <w:sz w:val="22"/>
          <w:szCs w:val="22"/>
          <w:lang w:val="ro-RO"/>
        </w:rPr>
        <w:t>ție</w:t>
      </w:r>
      <w:r w:rsidR="0017292E" w:rsidRPr="00D4433B">
        <w:rPr>
          <w:i/>
          <w:iCs/>
          <w:sz w:val="22"/>
          <w:szCs w:val="22"/>
          <w:lang w:val="ro-RO"/>
        </w:rPr>
        <w:t xml:space="preserve">. </w:t>
      </w:r>
      <w:r w:rsidR="003D7FA6" w:rsidRPr="00D4433B">
        <w:rPr>
          <w:i/>
          <w:iCs/>
          <w:sz w:val="22"/>
          <w:szCs w:val="22"/>
          <w:lang w:val="ro-RO"/>
        </w:rPr>
        <w:t xml:space="preserve">Poate face obiectul revizuirilor </w:t>
      </w:r>
      <w:r w:rsidR="0017292E" w:rsidRPr="00D4433B">
        <w:rPr>
          <w:i/>
          <w:iCs/>
          <w:sz w:val="22"/>
          <w:szCs w:val="22"/>
          <w:lang w:val="ro-RO"/>
        </w:rPr>
        <w:t>editorial</w:t>
      </w:r>
      <w:r w:rsidR="003D7FA6" w:rsidRPr="00D4433B">
        <w:rPr>
          <w:i/>
          <w:iCs/>
          <w:sz w:val="22"/>
          <w:szCs w:val="22"/>
          <w:lang w:val="ro-RO"/>
        </w:rPr>
        <w:t>e</w:t>
      </w:r>
      <w:r w:rsidR="0017292E" w:rsidRPr="00D4433B">
        <w:rPr>
          <w:i/>
          <w:iCs/>
          <w:sz w:val="22"/>
          <w:szCs w:val="22"/>
          <w:lang w:val="ro-RO"/>
        </w:rPr>
        <w:t>.</w:t>
      </w:r>
    </w:p>
    <w:p w14:paraId="1FB0A495" w14:textId="77777777" w:rsidR="000E1EED" w:rsidRPr="00D4433B" w:rsidRDefault="000E1EED" w:rsidP="000E1EED">
      <w:pPr>
        <w:pStyle w:val="JuCase"/>
        <w:ind w:firstLine="0"/>
        <w:rPr>
          <w:b w:val="0"/>
          <w:i/>
          <w:sz w:val="22"/>
          <w:lang w:val="ro-RO"/>
        </w:rPr>
      </w:pPr>
    </w:p>
    <w:p w14:paraId="56A6A86B" w14:textId="77777777" w:rsidR="000E1EED" w:rsidRPr="00D4433B" w:rsidRDefault="000E1EED" w:rsidP="000E1EED">
      <w:pPr>
        <w:pStyle w:val="JuPara"/>
        <w:rPr>
          <w:lang w:val="ro-RO"/>
        </w:rPr>
        <w:sectPr w:rsidR="000E1EED" w:rsidRPr="00D4433B" w:rsidSect="000E1EED">
          <w:headerReference w:type="default" r:id="rId11"/>
          <w:headerReference w:type="first" r:id="rId12"/>
          <w:footerReference w:type="first" r:id="rId13"/>
          <w:footnotePr>
            <w:numRestart w:val="eachPage"/>
          </w:footnotePr>
          <w:pgSz w:w="11906" w:h="16838" w:code="9"/>
          <w:pgMar w:top="2274" w:right="2274" w:bottom="2274" w:left="2274" w:header="1701" w:footer="720" w:gutter="0"/>
          <w:pgNumType w:start="1"/>
          <w:cols w:space="720"/>
          <w:titlePg/>
          <w:docGrid w:linePitch="326"/>
        </w:sectPr>
      </w:pPr>
    </w:p>
    <w:p w14:paraId="5297E4DD" w14:textId="2A9B224A" w:rsidR="006D0621" w:rsidRPr="00D4433B" w:rsidRDefault="003D7FA6" w:rsidP="006D0621">
      <w:pPr>
        <w:pStyle w:val="JuCase"/>
        <w:rPr>
          <w:b w:val="0"/>
          <w:bCs/>
          <w:lang w:val="ro-RO"/>
        </w:rPr>
      </w:pPr>
      <w:r w:rsidRPr="00D4433B">
        <w:rPr>
          <w:lang w:val="ro-RO"/>
        </w:rPr>
        <w:lastRenderedPageBreak/>
        <w:t>Î</w:t>
      </w:r>
      <w:r w:rsidR="006D0621" w:rsidRPr="00D4433B">
        <w:rPr>
          <w:lang w:val="ro-RO"/>
        </w:rPr>
        <w:t xml:space="preserve">n </w:t>
      </w:r>
      <w:r w:rsidRPr="00D4433B">
        <w:rPr>
          <w:lang w:val="ro-RO"/>
        </w:rPr>
        <w:t xml:space="preserve">cazul </w:t>
      </w:r>
      <w:proofErr w:type="spellStart"/>
      <w:r w:rsidR="006D0621" w:rsidRPr="00D4433B">
        <w:rPr>
          <w:lang w:val="ro-RO"/>
        </w:rPr>
        <w:t>Węgrzynowski</w:t>
      </w:r>
      <w:proofErr w:type="spellEnd"/>
      <w:r w:rsidR="006D0621" w:rsidRPr="00D4433B">
        <w:rPr>
          <w:lang w:val="ro-RO"/>
        </w:rPr>
        <w:t xml:space="preserve"> </w:t>
      </w:r>
      <w:r w:rsidRPr="00D4433B">
        <w:rPr>
          <w:lang w:val="ro-RO"/>
        </w:rPr>
        <w:t xml:space="preserve">și </w:t>
      </w:r>
      <w:proofErr w:type="spellStart"/>
      <w:r w:rsidR="006D0621" w:rsidRPr="00D4433B">
        <w:rPr>
          <w:lang w:val="ro-RO"/>
        </w:rPr>
        <w:t>Smolczewski</w:t>
      </w:r>
      <w:proofErr w:type="spellEnd"/>
      <w:r w:rsidR="006D0621" w:rsidRPr="00D4433B">
        <w:rPr>
          <w:lang w:val="ro-RO"/>
        </w:rPr>
        <w:t xml:space="preserve"> </w:t>
      </w:r>
      <w:r w:rsidRPr="00D4433B">
        <w:rPr>
          <w:lang w:val="ro-RO"/>
        </w:rPr>
        <w:t xml:space="preserve">împotriva </w:t>
      </w:r>
      <w:r w:rsidR="006D0621" w:rsidRPr="00D4433B">
        <w:rPr>
          <w:lang w:val="ro-RO"/>
        </w:rPr>
        <w:t>Pol</w:t>
      </w:r>
      <w:r w:rsidRPr="00D4433B">
        <w:rPr>
          <w:lang w:val="ro-RO"/>
        </w:rPr>
        <w:t>oniei</w:t>
      </w:r>
      <w:r w:rsidR="006D0621" w:rsidRPr="00D4433B">
        <w:rPr>
          <w:lang w:val="ro-RO"/>
        </w:rPr>
        <w:t>,</w:t>
      </w:r>
    </w:p>
    <w:p w14:paraId="2833E3E1" w14:textId="4FDD97E6" w:rsidR="006D0621" w:rsidRPr="00D4433B" w:rsidRDefault="003D7FA6" w:rsidP="006D0621">
      <w:pPr>
        <w:pStyle w:val="JuCase"/>
        <w:rPr>
          <w:b w:val="0"/>
          <w:bCs/>
          <w:lang w:val="ro-RO"/>
        </w:rPr>
      </w:pPr>
      <w:r w:rsidRPr="00D4433B">
        <w:rPr>
          <w:b w:val="0"/>
          <w:bCs/>
          <w:lang w:val="ro-RO"/>
        </w:rPr>
        <w:t xml:space="preserve">Curtea </w:t>
      </w:r>
      <w:r w:rsidR="006D0621" w:rsidRPr="00D4433B">
        <w:rPr>
          <w:b w:val="0"/>
          <w:bCs/>
          <w:lang w:val="ro-RO"/>
        </w:rPr>
        <w:t>European</w:t>
      </w:r>
      <w:r w:rsidRPr="00D4433B">
        <w:rPr>
          <w:b w:val="0"/>
          <w:bCs/>
          <w:lang w:val="ro-RO"/>
        </w:rPr>
        <w:t>ă</w:t>
      </w:r>
      <w:r w:rsidR="006D0621" w:rsidRPr="00D4433B">
        <w:rPr>
          <w:b w:val="0"/>
          <w:bCs/>
          <w:lang w:val="ro-RO"/>
        </w:rPr>
        <w:t xml:space="preserve"> </w:t>
      </w:r>
      <w:r w:rsidRPr="00D4433B">
        <w:rPr>
          <w:b w:val="0"/>
          <w:bCs/>
          <w:lang w:val="ro-RO"/>
        </w:rPr>
        <w:t xml:space="preserve">a Drepturilor Omului </w:t>
      </w:r>
      <w:r w:rsidR="006D0621" w:rsidRPr="00D4433B">
        <w:rPr>
          <w:b w:val="0"/>
          <w:bCs/>
          <w:lang w:val="ro-RO"/>
        </w:rPr>
        <w:t>(Sec</w:t>
      </w:r>
      <w:r w:rsidRPr="00D4433B">
        <w:rPr>
          <w:b w:val="0"/>
          <w:bCs/>
          <w:lang w:val="ro-RO"/>
        </w:rPr>
        <w:t>ția a IV a</w:t>
      </w:r>
      <w:r w:rsidR="006D0621" w:rsidRPr="00D4433B">
        <w:rPr>
          <w:b w:val="0"/>
          <w:bCs/>
          <w:lang w:val="ro-RO"/>
        </w:rPr>
        <w:t xml:space="preserve">), </w:t>
      </w:r>
      <w:r w:rsidR="00EE0226" w:rsidRPr="00D4433B">
        <w:rPr>
          <w:b w:val="0"/>
          <w:bCs/>
          <w:lang w:val="ro-RO"/>
        </w:rPr>
        <w:t xml:space="preserve">întrunită sub forma unei </w:t>
      </w:r>
      <w:r w:rsidR="006D0621" w:rsidRPr="00D4433B">
        <w:rPr>
          <w:b w:val="0"/>
          <w:bCs/>
          <w:lang w:val="ro-RO"/>
        </w:rPr>
        <w:t>C</w:t>
      </w:r>
      <w:r w:rsidR="00EE0226" w:rsidRPr="00D4433B">
        <w:rPr>
          <w:b w:val="0"/>
          <w:bCs/>
          <w:lang w:val="ro-RO"/>
        </w:rPr>
        <w:t xml:space="preserve">amere </w:t>
      </w:r>
      <w:r w:rsidR="006D0621" w:rsidRPr="00D4433B">
        <w:rPr>
          <w:b w:val="0"/>
          <w:bCs/>
          <w:lang w:val="ro-RO"/>
        </w:rPr>
        <w:t>comp</w:t>
      </w:r>
      <w:r w:rsidR="00EE0226" w:rsidRPr="00D4433B">
        <w:rPr>
          <w:b w:val="0"/>
          <w:bCs/>
          <w:lang w:val="ro-RO"/>
        </w:rPr>
        <w:t>use din</w:t>
      </w:r>
      <w:r w:rsidR="006D0621" w:rsidRPr="00D4433B">
        <w:rPr>
          <w:b w:val="0"/>
          <w:bCs/>
          <w:lang w:val="ro-RO"/>
        </w:rPr>
        <w:t>:</w:t>
      </w:r>
    </w:p>
    <w:p w14:paraId="69B9F04C" w14:textId="6C8C7A4A" w:rsidR="006D0621" w:rsidRPr="00D4433B" w:rsidRDefault="000E1EED" w:rsidP="006D0621">
      <w:pPr>
        <w:pStyle w:val="JuJudges"/>
        <w:rPr>
          <w:lang w:val="ro-RO"/>
        </w:rPr>
      </w:pPr>
      <w:r w:rsidRPr="00D4433B">
        <w:rPr>
          <w:lang w:val="ro-RO"/>
        </w:rPr>
        <w:tab/>
      </w:r>
      <w:proofErr w:type="spellStart"/>
      <w:r w:rsidRPr="00D4433B">
        <w:rPr>
          <w:lang w:val="ro-RO"/>
        </w:rPr>
        <w:t>Ineta</w:t>
      </w:r>
      <w:proofErr w:type="spellEnd"/>
      <w:r w:rsidRPr="00D4433B">
        <w:rPr>
          <w:lang w:val="ro-RO"/>
        </w:rPr>
        <w:t xml:space="preserve"> </w:t>
      </w:r>
      <w:proofErr w:type="spellStart"/>
      <w:r w:rsidRPr="00D4433B">
        <w:rPr>
          <w:lang w:val="ro-RO"/>
        </w:rPr>
        <w:t>Ziemele</w:t>
      </w:r>
      <w:proofErr w:type="spellEnd"/>
      <w:r w:rsidRPr="00D4433B">
        <w:rPr>
          <w:lang w:val="ro-RO"/>
        </w:rPr>
        <w:t>,</w:t>
      </w:r>
      <w:r w:rsidRPr="00D4433B">
        <w:rPr>
          <w:i/>
          <w:lang w:val="ro-RO"/>
        </w:rPr>
        <w:t xml:space="preserve"> Pre</w:t>
      </w:r>
      <w:r w:rsidR="00EE0226" w:rsidRPr="00D4433B">
        <w:rPr>
          <w:i/>
          <w:lang w:val="ro-RO"/>
        </w:rPr>
        <w:t>ședinte</w:t>
      </w:r>
      <w:r w:rsidRPr="00D4433B">
        <w:rPr>
          <w:i/>
          <w:lang w:val="ro-RO"/>
        </w:rPr>
        <w:t>,</w:t>
      </w:r>
      <w:r w:rsidRPr="00D4433B">
        <w:rPr>
          <w:i/>
          <w:lang w:val="ro-RO"/>
        </w:rPr>
        <w:br/>
      </w:r>
      <w:r w:rsidRPr="00D4433B">
        <w:rPr>
          <w:lang w:val="ro-RO"/>
        </w:rPr>
        <w:tab/>
        <w:t xml:space="preserve">David </w:t>
      </w:r>
      <w:proofErr w:type="spellStart"/>
      <w:r w:rsidRPr="00D4433B">
        <w:rPr>
          <w:lang w:val="ro-RO"/>
        </w:rPr>
        <w:t>Thór</w:t>
      </w:r>
      <w:proofErr w:type="spellEnd"/>
      <w:r w:rsidRPr="00D4433B">
        <w:rPr>
          <w:lang w:val="ro-RO"/>
        </w:rPr>
        <w:t xml:space="preserve"> </w:t>
      </w:r>
      <w:proofErr w:type="spellStart"/>
      <w:r w:rsidRPr="00D4433B">
        <w:rPr>
          <w:lang w:val="ro-RO"/>
        </w:rPr>
        <w:t>Björgvinsson</w:t>
      </w:r>
      <w:proofErr w:type="spellEnd"/>
      <w:r w:rsidRPr="00D4433B">
        <w:rPr>
          <w:lang w:val="ro-RO"/>
        </w:rPr>
        <w:t>,</w:t>
      </w:r>
      <w:r w:rsidRPr="00D4433B">
        <w:rPr>
          <w:i/>
          <w:lang w:val="ro-RO"/>
        </w:rPr>
        <w:br/>
      </w:r>
      <w:r w:rsidRPr="00D4433B">
        <w:rPr>
          <w:lang w:val="ro-RO"/>
        </w:rPr>
        <w:tab/>
      </w:r>
      <w:proofErr w:type="spellStart"/>
      <w:r w:rsidRPr="00D4433B">
        <w:rPr>
          <w:lang w:val="ro-RO"/>
        </w:rPr>
        <w:t>Päivi</w:t>
      </w:r>
      <w:proofErr w:type="spellEnd"/>
      <w:r w:rsidRPr="00D4433B">
        <w:rPr>
          <w:lang w:val="ro-RO"/>
        </w:rPr>
        <w:t xml:space="preserve"> </w:t>
      </w:r>
      <w:proofErr w:type="spellStart"/>
      <w:r w:rsidRPr="00D4433B">
        <w:rPr>
          <w:lang w:val="ro-RO"/>
        </w:rPr>
        <w:t>Hirvelä</w:t>
      </w:r>
      <w:proofErr w:type="spellEnd"/>
      <w:r w:rsidRPr="00D4433B">
        <w:rPr>
          <w:lang w:val="ro-RO"/>
        </w:rPr>
        <w:t>,</w:t>
      </w:r>
      <w:r w:rsidRPr="00D4433B">
        <w:rPr>
          <w:i/>
          <w:lang w:val="ro-RO"/>
        </w:rPr>
        <w:br/>
      </w:r>
      <w:r w:rsidRPr="00D4433B">
        <w:rPr>
          <w:lang w:val="ro-RO"/>
        </w:rPr>
        <w:tab/>
        <w:t xml:space="preserve">George </w:t>
      </w:r>
      <w:proofErr w:type="spellStart"/>
      <w:r w:rsidRPr="00D4433B">
        <w:rPr>
          <w:lang w:val="ro-RO"/>
        </w:rPr>
        <w:t>Nicolaou</w:t>
      </w:r>
      <w:proofErr w:type="spellEnd"/>
      <w:r w:rsidRPr="00D4433B">
        <w:rPr>
          <w:lang w:val="ro-RO"/>
        </w:rPr>
        <w:t>,</w:t>
      </w:r>
      <w:r w:rsidRPr="00D4433B">
        <w:rPr>
          <w:i/>
          <w:lang w:val="ro-RO"/>
        </w:rPr>
        <w:br/>
      </w:r>
      <w:r w:rsidRPr="00D4433B">
        <w:rPr>
          <w:lang w:val="ro-RO"/>
        </w:rPr>
        <w:tab/>
      </w:r>
      <w:proofErr w:type="spellStart"/>
      <w:r w:rsidRPr="00D4433B">
        <w:rPr>
          <w:lang w:val="ro-RO"/>
        </w:rPr>
        <w:t>Ledi</w:t>
      </w:r>
      <w:proofErr w:type="spellEnd"/>
      <w:r w:rsidRPr="00D4433B">
        <w:rPr>
          <w:lang w:val="ro-RO"/>
        </w:rPr>
        <w:t xml:space="preserve"> </w:t>
      </w:r>
      <w:proofErr w:type="spellStart"/>
      <w:r w:rsidRPr="00D4433B">
        <w:rPr>
          <w:lang w:val="ro-RO"/>
        </w:rPr>
        <w:t>Bianku</w:t>
      </w:r>
      <w:proofErr w:type="spellEnd"/>
      <w:r w:rsidRPr="00D4433B">
        <w:rPr>
          <w:lang w:val="ro-RO"/>
        </w:rPr>
        <w:t>,</w:t>
      </w:r>
      <w:r w:rsidRPr="00D4433B">
        <w:rPr>
          <w:i/>
          <w:lang w:val="ro-RO"/>
        </w:rPr>
        <w:br/>
      </w:r>
      <w:r w:rsidRPr="00D4433B">
        <w:rPr>
          <w:lang w:val="ro-RO"/>
        </w:rPr>
        <w:tab/>
      </w:r>
      <w:proofErr w:type="spellStart"/>
      <w:r w:rsidRPr="00D4433B">
        <w:rPr>
          <w:lang w:val="ro-RO"/>
        </w:rPr>
        <w:t>Zdravka</w:t>
      </w:r>
      <w:proofErr w:type="spellEnd"/>
      <w:r w:rsidRPr="00D4433B">
        <w:rPr>
          <w:lang w:val="ro-RO"/>
        </w:rPr>
        <w:t xml:space="preserve"> </w:t>
      </w:r>
      <w:proofErr w:type="spellStart"/>
      <w:r w:rsidRPr="00D4433B">
        <w:rPr>
          <w:lang w:val="ro-RO"/>
        </w:rPr>
        <w:t>Kalaydjieva</w:t>
      </w:r>
      <w:proofErr w:type="spellEnd"/>
      <w:r w:rsidRPr="00D4433B">
        <w:rPr>
          <w:lang w:val="ro-RO"/>
        </w:rPr>
        <w:t>,</w:t>
      </w:r>
      <w:r w:rsidRPr="00D4433B">
        <w:rPr>
          <w:i/>
          <w:lang w:val="ro-RO"/>
        </w:rPr>
        <w:br/>
      </w:r>
      <w:r w:rsidRPr="00D4433B">
        <w:rPr>
          <w:lang w:val="ro-RO"/>
        </w:rPr>
        <w:tab/>
      </w:r>
      <w:proofErr w:type="spellStart"/>
      <w:r w:rsidRPr="00D4433B">
        <w:rPr>
          <w:lang w:val="ro-RO"/>
        </w:rPr>
        <w:t>Krzysztof</w:t>
      </w:r>
      <w:proofErr w:type="spellEnd"/>
      <w:r w:rsidRPr="00D4433B">
        <w:rPr>
          <w:lang w:val="ro-RO"/>
        </w:rPr>
        <w:t xml:space="preserve"> </w:t>
      </w:r>
      <w:proofErr w:type="spellStart"/>
      <w:r w:rsidRPr="00D4433B">
        <w:rPr>
          <w:lang w:val="ro-RO"/>
        </w:rPr>
        <w:t>Wojtyczek</w:t>
      </w:r>
      <w:proofErr w:type="spellEnd"/>
      <w:r w:rsidRPr="00D4433B">
        <w:rPr>
          <w:lang w:val="ro-RO"/>
        </w:rPr>
        <w:t>,</w:t>
      </w:r>
      <w:r w:rsidRPr="00D4433B">
        <w:rPr>
          <w:i/>
          <w:lang w:val="ro-RO"/>
        </w:rPr>
        <w:t xml:space="preserve"> jud</w:t>
      </w:r>
      <w:r w:rsidR="00EE0226" w:rsidRPr="00D4433B">
        <w:rPr>
          <w:i/>
          <w:lang w:val="ro-RO"/>
        </w:rPr>
        <w:t>ecători</w:t>
      </w:r>
      <w:r w:rsidRPr="00D4433B">
        <w:rPr>
          <w:i/>
          <w:lang w:val="ro-RO"/>
        </w:rPr>
        <w:t>,</w:t>
      </w:r>
      <w:r w:rsidRPr="00D4433B">
        <w:rPr>
          <w:i/>
          <w:lang w:val="ro-RO"/>
        </w:rPr>
        <w:br/>
      </w:r>
      <w:r w:rsidR="00EE0226" w:rsidRPr="00D4433B">
        <w:rPr>
          <w:lang w:val="ro-RO"/>
        </w:rPr>
        <w:t xml:space="preserve">și </w:t>
      </w:r>
      <w:proofErr w:type="spellStart"/>
      <w:r w:rsidR="006D0621" w:rsidRPr="00D4433B">
        <w:rPr>
          <w:lang w:val="ro-RO"/>
        </w:rPr>
        <w:t>Françoise</w:t>
      </w:r>
      <w:proofErr w:type="spellEnd"/>
      <w:r w:rsidR="006D0621" w:rsidRPr="00D4433B">
        <w:rPr>
          <w:lang w:val="ro-RO"/>
        </w:rPr>
        <w:t xml:space="preserve"> </w:t>
      </w:r>
      <w:proofErr w:type="spellStart"/>
      <w:r w:rsidR="006D0621" w:rsidRPr="00D4433B">
        <w:rPr>
          <w:lang w:val="ro-RO"/>
        </w:rPr>
        <w:t>Elens</w:t>
      </w:r>
      <w:proofErr w:type="spellEnd"/>
      <w:r w:rsidR="006D0621" w:rsidRPr="00D4433B">
        <w:rPr>
          <w:lang w:val="ro-RO"/>
        </w:rPr>
        <w:t>-Passos</w:t>
      </w:r>
      <w:r w:rsidR="006D0621" w:rsidRPr="00D4433B">
        <w:rPr>
          <w:rStyle w:val="JuJudgesChar"/>
          <w:lang w:val="ro-RO"/>
        </w:rPr>
        <w:t xml:space="preserve">, </w:t>
      </w:r>
      <w:r w:rsidR="00EE0226" w:rsidRPr="00D4433B">
        <w:rPr>
          <w:i/>
          <w:lang w:val="ro-RO"/>
        </w:rPr>
        <w:t>Grefierul Secției</w:t>
      </w:r>
      <w:r w:rsidR="006D0621" w:rsidRPr="00D4433B">
        <w:rPr>
          <w:i/>
          <w:lang w:val="ro-RO"/>
        </w:rPr>
        <w:t>,</w:t>
      </w:r>
    </w:p>
    <w:p w14:paraId="1D449157" w14:textId="36B91CB7" w:rsidR="006D0621" w:rsidRPr="00D4433B" w:rsidRDefault="00EE0226" w:rsidP="006D0621">
      <w:pPr>
        <w:pStyle w:val="JuPara"/>
        <w:rPr>
          <w:lang w:val="ro-RO"/>
        </w:rPr>
      </w:pPr>
      <w:r w:rsidRPr="00D4433B">
        <w:rPr>
          <w:lang w:val="ro-RO"/>
        </w:rPr>
        <w:t xml:space="preserve">După ce au deliberat în </w:t>
      </w:r>
      <w:r w:rsidR="006D0621" w:rsidRPr="00D4433B">
        <w:rPr>
          <w:lang w:val="ro-RO"/>
        </w:rPr>
        <w:t xml:space="preserve">privat </w:t>
      </w:r>
      <w:r w:rsidRPr="00D4433B">
        <w:rPr>
          <w:lang w:val="ro-RO"/>
        </w:rPr>
        <w:t xml:space="preserve">la </w:t>
      </w:r>
      <w:r w:rsidR="000E1EED" w:rsidRPr="00D4433B">
        <w:rPr>
          <w:lang w:val="ro-RO"/>
        </w:rPr>
        <w:t xml:space="preserve">25 </w:t>
      </w:r>
      <w:r w:rsidRPr="00D4433B">
        <w:rPr>
          <w:lang w:val="ro-RO"/>
        </w:rPr>
        <w:t xml:space="preserve">iunie </w:t>
      </w:r>
      <w:r w:rsidR="000E1EED" w:rsidRPr="00D4433B">
        <w:rPr>
          <w:lang w:val="ro-RO"/>
        </w:rPr>
        <w:t>2013</w:t>
      </w:r>
      <w:r w:rsidR="006D0621" w:rsidRPr="00D4433B">
        <w:rPr>
          <w:lang w:val="ro-RO"/>
        </w:rPr>
        <w:t>,</w:t>
      </w:r>
    </w:p>
    <w:p w14:paraId="6A888880" w14:textId="72894CF5" w:rsidR="006D0621" w:rsidRPr="00D4433B" w:rsidRDefault="00EE0226" w:rsidP="00EE0226">
      <w:pPr>
        <w:pStyle w:val="JuPara"/>
        <w:rPr>
          <w:lang w:val="ro-RO"/>
        </w:rPr>
      </w:pPr>
      <w:r w:rsidRPr="00D4433B">
        <w:rPr>
          <w:lang w:val="ro-RO"/>
        </w:rPr>
        <w:t>S-a pronunțat după cum urmează</w:t>
      </w:r>
      <w:r w:rsidR="006D0621" w:rsidRPr="00D4433B">
        <w:rPr>
          <w:lang w:val="ro-RO"/>
        </w:rPr>
        <w:t xml:space="preserve">, </w:t>
      </w:r>
      <w:r w:rsidRPr="00D4433B">
        <w:rPr>
          <w:lang w:val="ro-RO"/>
        </w:rPr>
        <w:t>adoptând următoarea hotărâre la data mai sus menționată</w:t>
      </w:r>
      <w:r w:rsidR="006D0621" w:rsidRPr="00D4433B">
        <w:rPr>
          <w:lang w:val="ro-RO"/>
        </w:rPr>
        <w:t>:</w:t>
      </w:r>
    </w:p>
    <w:p w14:paraId="12E984CC" w14:textId="0CCF35D5" w:rsidR="006D0621" w:rsidRPr="00D4433B" w:rsidRDefault="006D0621" w:rsidP="006D0621">
      <w:pPr>
        <w:pStyle w:val="JuHHead"/>
        <w:rPr>
          <w:lang w:val="ro-RO"/>
        </w:rPr>
      </w:pPr>
      <w:r w:rsidRPr="00D4433B">
        <w:rPr>
          <w:lang w:val="ro-RO"/>
        </w:rPr>
        <w:t>PROCEDUR</w:t>
      </w:r>
      <w:r w:rsidR="00EE0226" w:rsidRPr="00D4433B">
        <w:rPr>
          <w:lang w:val="ro-RO"/>
        </w:rPr>
        <w:t>Ă</w:t>
      </w:r>
    </w:p>
    <w:p w14:paraId="239847F9" w14:textId="2E199053"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w:t>
      </w:r>
      <w:r w:rsidRPr="00D4433B">
        <w:rPr>
          <w:lang w:val="ro-RO"/>
        </w:rPr>
        <w:fldChar w:fldCharType="end"/>
      </w:r>
      <w:r w:rsidRPr="00D4433B">
        <w:rPr>
          <w:lang w:val="ro-RO"/>
        </w:rPr>
        <w:t>.  </w:t>
      </w:r>
      <w:r w:rsidR="009E5735" w:rsidRPr="00D4433B">
        <w:rPr>
          <w:lang w:val="ro-RO"/>
        </w:rPr>
        <w:t xml:space="preserve">Cazul s-a întemeiat pe o cerere </w:t>
      </w:r>
      <w:r w:rsidRPr="00D4433B">
        <w:rPr>
          <w:lang w:val="ro-RO"/>
        </w:rPr>
        <w:t>(n</w:t>
      </w:r>
      <w:r w:rsidR="009E5735" w:rsidRPr="00D4433B">
        <w:rPr>
          <w:lang w:val="ro-RO"/>
        </w:rPr>
        <w:t>r</w:t>
      </w:r>
      <w:r w:rsidRPr="00D4433B">
        <w:rPr>
          <w:lang w:val="ro-RO"/>
        </w:rPr>
        <w:t xml:space="preserve">. 33846/07) </w:t>
      </w:r>
      <w:r w:rsidR="009E5735" w:rsidRPr="00D4433B">
        <w:rPr>
          <w:lang w:val="ro-RO"/>
        </w:rPr>
        <w:t xml:space="preserve">împotriva </w:t>
      </w:r>
      <w:r w:rsidRPr="00D4433B">
        <w:rPr>
          <w:lang w:val="ro-RO"/>
        </w:rPr>
        <w:t>Republic</w:t>
      </w:r>
      <w:r w:rsidR="009E5735" w:rsidRPr="00D4433B">
        <w:rPr>
          <w:lang w:val="ro-RO"/>
        </w:rPr>
        <w:t>ii</w:t>
      </w:r>
      <w:r w:rsidRPr="00D4433B">
        <w:rPr>
          <w:lang w:val="ro-RO"/>
        </w:rPr>
        <w:t xml:space="preserve"> Pol</w:t>
      </w:r>
      <w:r w:rsidR="009E5735" w:rsidRPr="00D4433B">
        <w:rPr>
          <w:lang w:val="ro-RO"/>
        </w:rPr>
        <w:t>one</w:t>
      </w:r>
      <w:r w:rsidRPr="00D4433B">
        <w:rPr>
          <w:lang w:val="ro-RO"/>
        </w:rPr>
        <w:t xml:space="preserve"> </w:t>
      </w:r>
      <w:r w:rsidR="009E5735" w:rsidRPr="00D4433B">
        <w:rPr>
          <w:lang w:val="ro-RO"/>
        </w:rPr>
        <w:t xml:space="preserve">înaintată în fața </w:t>
      </w:r>
      <w:r w:rsidRPr="00D4433B">
        <w:rPr>
          <w:lang w:val="ro-RO"/>
        </w:rPr>
        <w:t>Cur</w:t>
      </w:r>
      <w:r w:rsidR="009E5735" w:rsidRPr="00D4433B">
        <w:rPr>
          <w:lang w:val="ro-RO"/>
        </w:rPr>
        <w:t>ții</w:t>
      </w:r>
      <w:r w:rsidRPr="00D4433B">
        <w:rPr>
          <w:lang w:val="ro-RO"/>
        </w:rPr>
        <w:t xml:space="preserve"> </w:t>
      </w:r>
      <w:r w:rsidR="00166755" w:rsidRPr="00D4433B">
        <w:rPr>
          <w:lang w:val="ro-RO"/>
        </w:rPr>
        <w:t xml:space="preserve">în temeiul </w:t>
      </w:r>
      <w:r w:rsidRPr="00D4433B">
        <w:rPr>
          <w:lang w:val="ro-RO"/>
        </w:rPr>
        <w:t>Artic</w:t>
      </w:r>
      <w:r w:rsidR="00166755" w:rsidRPr="00D4433B">
        <w:rPr>
          <w:lang w:val="ro-RO"/>
        </w:rPr>
        <w:t>olul</w:t>
      </w:r>
      <w:r w:rsidRPr="00D4433B">
        <w:rPr>
          <w:lang w:val="ro-RO"/>
        </w:rPr>
        <w:t xml:space="preserve"> 34 </w:t>
      </w:r>
      <w:r w:rsidR="00166755" w:rsidRPr="00D4433B">
        <w:rPr>
          <w:lang w:val="ro-RO"/>
        </w:rPr>
        <w:t xml:space="preserve">din </w:t>
      </w:r>
      <w:r w:rsidRPr="00D4433B">
        <w:rPr>
          <w:lang w:val="ro-RO"/>
        </w:rPr>
        <w:t>Conven</w:t>
      </w:r>
      <w:r w:rsidR="00166755" w:rsidRPr="00D4433B">
        <w:rPr>
          <w:lang w:val="ro-RO"/>
        </w:rPr>
        <w:t xml:space="preserve">ția pentru </w:t>
      </w:r>
      <w:r w:rsidRPr="00D4433B">
        <w:rPr>
          <w:lang w:val="ro-RO"/>
        </w:rPr>
        <w:t>Protec</w:t>
      </w:r>
      <w:r w:rsidR="00166755" w:rsidRPr="00D4433B">
        <w:rPr>
          <w:lang w:val="ro-RO"/>
        </w:rPr>
        <w:t xml:space="preserve">ția Drepturilor Omului și a Libertăților </w:t>
      </w:r>
      <w:r w:rsidRPr="00D4433B">
        <w:rPr>
          <w:lang w:val="ro-RO"/>
        </w:rPr>
        <w:t>Fundamental</w:t>
      </w:r>
      <w:r w:rsidR="00166755" w:rsidRPr="00D4433B">
        <w:rPr>
          <w:lang w:val="ro-RO"/>
        </w:rPr>
        <w:t>e</w:t>
      </w:r>
      <w:r w:rsidRPr="00D4433B">
        <w:rPr>
          <w:lang w:val="ro-RO"/>
        </w:rPr>
        <w:t xml:space="preserve"> (“Conven</w:t>
      </w:r>
      <w:r w:rsidR="00166755" w:rsidRPr="00D4433B">
        <w:rPr>
          <w:lang w:val="ro-RO"/>
        </w:rPr>
        <w:t>ția</w:t>
      </w:r>
      <w:r w:rsidRPr="00D4433B">
        <w:rPr>
          <w:lang w:val="ro-RO"/>
        </w:rPr>
        <w:t xml:space="preserve">”) </w:t>
      </w:r>
      <w:r w:rsidR="00166755" w:rsidRPr="00D4433B">
        <w:rPr>
          <w:lang w:val="ro-RO"/>
        </w:rPr>
        <w:t xml:space="preserve">de către doi resortisanți </w:t>
      </w:r>
      <w:r w:rsidR="00E1657C" w:rsidRPr="00D4433B">
        <w:rPr>
          <w:lang w:val="ro-RO"/>
        </w:rPr>
        <w:t>din Polonia</w:t>
      </w:r>
      <w:r w:rsidRPr="00D4433B">
        <w:rPr>
          <w:lang w:val="ro-RO"/>
        </w:rPr>
        <w:t xml:space="preserve">, </w:t>
      </w:r>
      <w:r w:rsidR="00793115" w:rsidRPr="00D4433B">
        <w:rPr>
          <w:lang w:val="ro-RO"/>
        </w:rPr>
        <w:t xml:space="preserve">Dl. </w:t>
      </w:r>
      <w:proofErr w:type="spellStart"/>
      <w:r w:rsidRPr="00D4433B">
        <w:rPr>
          <w:lang w:val="ro-RO"/>
        </w:rPr>
        <w:t>Szymon</w:t>
      </w:r>
      <w:proofErr w:type="spellEnd"/>
      <w:r w:rsidRPr="00D4433B">
        <w:rPr>
          <w:lang w:val="ro-RO"/>
        </w:rPr>
        <w:t xml:space="preserve"> </w:t>
      </w:r>
      <w:proofErr w:type="spellStart"/>
      <w:r w:rsidRPr="00D4433B">
        <w:rPr>
          <w:lang w:val="ro-RO"/>
        </w:rPr>
        <w:t>Węgrzynowski</w:t>
      </w:r>
      <w:proofErr w:type="spellEnd"/>
      <w:r w:rsidRPr="00D4433B">
        <w:rPr>
          <w:lang w:val="ro-RO"/>
        </w:rPr>
        <w:t xml:space="preserve"> </w:t>
      </w:r>
      <w:r w:rsidR="00793115" w:rsidRPr="00D4433B">
        <w:rPr>
          <w:lang w:val="ro-RO"/>
        </w:rPr>
        <w:t xml:space="preserve">și Dl. </w:t>
      </w:r>
      <w:r w:rsidRPr="00D4433B">
        <w:rPr>
          <w:lang w:val="ro-RO"/>
        </w:rPr>
        <w:t xml:space="preserve">Tadeusz </w:t>
      </w:r>
      <w:proofErr w:type="spellStart"/>
      <w:r w:rsidRPr="00D4433B">
        <w:rPr>
          <w:lang w:val="ro-RO"/>
        </w:rPr>
        <w:t>Smolczewski</w:t>
      </w:r>
      <w:proofErr w:type="spellEnd"/>
      <w:r w:rsidRPr="00D4433B">
        <w:rPr>
          <w:lang w:val="ro-RO"/>
        </w:rPr>
        <w:t xml:space="preserve"> (“</w:t>
      </w:r>
      <w:r w:rsidR="003F2431" w:rsidRPr="00D4433B">
        <w:rPr>
          <w:lang w:val="ro-RO"/>
        </w:rPr>
        <w:t>reclamanț</w:t>
      </w:r>
      <w:r w:rsidR="00793115" w:rsidRPr="00D4433B">
        <w:rPr>
          <w:lang w:val="ro-RO"/>
        </w:rPr>
        <w:t>ii</w:t>
      </w:r>
      <w:r w:rsidRPr="00D4433B">
        <w:rPr>
          <w:lang w:val="ro-RO"/>
        </w:rPr>
        <w:t xml:space="preserve">”), </w:t>
      </w:r>
      <w:r w:rsidR="00793115" w:rsidRPr="00D4433B">
        <w:rPr>
          <w:lang w:val="ro-RO"/>
        </w:rPr>
        <w:t xml:space="preserve">la data de </w:t>
      </w:r>
      <w:r w:rsidRPr="00D4433B">
        <w:rPr>
          <w:lang w:val="ro-RO"/>
        </w:rPr>
        <w:t xml:space="preserve">7 </w:t>
      </w:r>
      <w:r w:rsidR="00793115" w:rsidRPr="00D4433B">
        <w:rPr>
          <w:lang w:val="ro-RO"/>
        </w:rPr>
        <w:t>a</w:t>
      </w:r>
      <w:r w:rsidRPr="00D4433B">
        <w:rPr>
          <w:lang w:val="ro-RO"/>
        </w:rPr>
        <w:t>ugust 2007.</w:t>
      </w:r>
    </w:p>
    <w:p w14:paraId="240DE856" w14:textId="330B146F" w:rsidR="006D0621" w:rsidRPr="00D4433B" w:rsidRDefault="006D0621" w:rsidP="006D0621">
      <w:pPr>
        <w:pStyle w:val="JuPara"/>
        <w:rPr>
          <w:rStyle w:val="s23c0e944"/>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w:t>
      </w:r>
      <w:r w:rsidRPr="00D4433B">
        <w:rPr>
          <w:lang w:val="ro-RO"/>
        </w:rPr>
        <w:fldChar w:fldCharType="end"/>
      </w:r>
      <w:r w:rsidRPr="00D4433B">
        <w:rPr>
          <w:lang w:val="ro-RO"/>
        </w:rPr>
        <w:t>.  </w:t>
      </w:r>
      <w:r w:rsidR="003F2431" w:rsidRPr="00D4433B">
        <w:rPr>
          <w:lang w:val="ro-RO"/>
        </w:rPr>
        <w:t>Reclamanț</w:t>
      </w:r>
      <w:r w:rsidR="00793115" w:rsidRPr="00D4433B">
        <w:rPr>
          <w:lang w:val="ro-RO"/>
        </w:rPr>
        <w:t xml:space="preserve">ii au fost reprezentați de Dl. </w:t>
      </w:r>
      <w:r w:rsidRPr="00D4433B">
        <w:rPr>
          <w:lang w:val="ro-RO"/>
        </w:rPr>
        <w:t xml:space="preserve">M. </w:t>
      </w:r>
      <w:proofErr w:type="spellStart"/>
      <w:r w:rsidRPr="00D4433B">
        <w:rPr>
          <w:lang w:val="ro-RO"/>
        </w:rPr>
        <w:t>Lach</w:t>
      </w:r>
      <w:proofErr w:type="spellEnd"/>
      <w:r w:rsidRPr="00D4433B">
        <w:rPr>
          <w:lang w:val="ro-RO"/>
        </w:rPr>
        <w:t xml:space="preserve">, </w:t>
      </w:r>
      <w:r w:rsidR="00793115" w:rsidRPr="00D4433B">
        <w:rPr>
          <w:lang w:val="ro-RO"/>
        </w:rPr>
        <w:t>avocat cu drept de practică în Varșovia</w:t>
      </w:r>
      <w:r w:rsidRPr="00D4433B">
        <w:rPr>
          <w:lang w:val="ro-RO"/>
        </w:rPr>
        <w:t xml:space="preserve">. </w:t>
      </w:r>
      <w:r w:rsidR="00793115" w:rsidRPr="00D4433B">
        <w:rPr>
          <w:lang w:val="ro-RO"/>
        </w:rPr>
        <w:t xml:space="preserve">Guvernul Poloniei </w:t>
      </w:r>
      <w:r w:rsidRPr="00D4433B">
        <w:rPr>
          <w:rStyle w:val="s23c0e944"/>
          <w:lang w:val="ro-RO"/>
        </w:rPr>
        <w:t>(“G</w:t>
      </w:r>
      <w:r w:rsidR="00793115" w:rsidRPr="00D4433B">
        <w:rPr>
          <w:rStyle w:val="s23c0e944"/>
          <w:lang w:val="ro-RO"/>
        </w:rPr>
        <w:t>u</w:t>
      </w:r>
      <w:r w:rsidRPr="00D4433B">
        <w:rPr>
          <w:rStyle w:val="s23c0e944"/>
          <w:lang w:val="ro-RO"/>
        </w:rPr>
        <w:t>vern</w:t>
      </w:r>
      <w:r w:rsidR="00793115" w:rsidRPr="00D4433B">
        <w:rPr>
          <w:rStyle w:val="s23c0e944"/>
          <w:lang w:val="ro-RO"/>
        </w:rPr>
        <w:t>ul</w:t>
      </w:r>
      <w:r w:rsidRPr="00D4433B">
        <w:rPr>
          <w:rStyle w:val="s23c0e944"/>
          <w:lang w:val="ro-RO"/>
        </w:rPr>
        <w:t xml:space="preserve">”) </w:t>
      </w:r>
      <w:r w:rsidR="00793115" w:rsidRPr="00D4433B">
        <w:rPr>
          <w:rStyle w:val="s23c0e944"/>
          <w:lang w:val="ro-RO"/>
        </w:rPr>
        <w:t xml:space="preserve">a fost reprezentat de </w:t>
      </w:r>
      <w:r w:rsidRPr="00D4433B">
        <w:rPr>
          <w:rStyle w:val="s23c0e944"/>
          <w:lang w:val="ro-RO"/>
        </w:rPr>
        <w:t>Agent</w:t>
      </w:r>
      <w:r w:rsidR="00793115" w:rsidRPr="00D4433B">
        <w:rPr>
          <w:rStyle w:val="s23c0e944"/>
          <w:lang w:val="ro-RO"/>
        </w:rPr>
        <w:t>ul acestuia</w:t>
      </w:r>
      <w:r w:rsidRPr="00D4433B">
        <w:rPr>
          <w:rStyle w:val="s23c0e944"/>
          <w:lang w:val="ro-RO"/>
        </w:rPr>
        <w:t xml:space="preserve">, </w:t>
      </w:r>
      <w:r w:rsidR="00793115" w:rsidRPr="00D4433B">
        <w:rPr>
          <w:rStyle w:val="s23c0e944"/>
          <w:lang w:val="ro-RO"/>
        </w:rPr>
        <w:t xml:space="preserve">Dl. </w:t>
      </w:r>
      <w:r w:rsidRPr="00D4433B">
        <w:rPr>
          <w:rStyle w:val="s23c0e944"/>
          <w:lang w:val="ro-RO"/>
        </w:rPr>
        <w:t xml:space="preserve">J. </w:t>
      </w:r>
      <w:proofErr w:type="spellStart"/>
      <w:r w:rsidRPr="00D4433B">
        <w:rPr>
          <w:rStyle w:val="s23c0e944"/>
          <w:lang w:val="ro-RO"/>
        </w:rPr>
        <w:t>Wołąsiewicz</w:t>
      </w:r>
      <w:proofErr w:type="spellEnd"/>
      <w:r w:rsidRPr="00D4433B">
        <w:rPr>
          <w:rStyle w:val="s23c0e944"/>
          <w:lang w:val="ro-RO"/>
        </w:rPr>
        <w:t xml:space="preserve">, </w:t>
      </w:r>
      <w:r w:rsidR="00793115" w:rsidRPr="00D4433B">
        <w:rPr>
          <w:rStyle w:val="s23c0e944"/>
          <w:lang w:val="ro-RO"/>
        </w:rPr>
        <w:t xml:space="preserve">urmat de D-na </w:t>
      </w:r>
      <w:r w:rsidRPr="00D4433B">
        <w:rPr>
          <w:rStyle w:val="s23c0e944"/>
          <w:lang w:val="ro-RO"/>
        </w:rPr>
        <w:t xml:space="preserve">J. </w:t>
      </w:r>
      <w:proofErr w:type="spellStart"/>
      <w:r w:rsidRPr="00D4433B">
        <w:rPr>
          <w:rStyle w:val="wordhighlighted"/>
          <w:lang w:val="ro-RO"/>
        </w:rPr>
        <w:t>Chrzanowska</w:t>
      </w:r>
      <w:proofErr w:type="spellEnd"/>
      <w:r w:rsidRPr="00D4433B">
        <w:rPr>
          <w:rStyle w:val="s23c0e944"/>
          <w:lang w:val="ro-RO"/>
        </w:rPr>
        <w:t xml:space="preserve">, </w:t>
      </w:r>
      <w:r w:rsidR="00793115" w:rsidRPr="00D4433B">
        <w:rPr>
          <w:rStyle w:val="s23c0e944"/>
          <w:lang w:val="ro-RO"/>
        </w:rPr>
        <w:t xml:space="preserve">de la </w:t>
      </w:r>
      <w:r w:rsidRPr="00D4433B">
        <w:rPr>
          <w:rStyle w:val="s23c0e944"/>
          <w:lang w:val="ro-RO"/>
        </w:rPr>
        <w:t>Minis</w:t>
      </w:r>
      <w:r w:rsidR="00793115" w:rsidRPr="00D4433B">
        <w:rPr>
          <w:rStyle w:val="s23c0e944"/>
          <w:lang w:val="ro-RO"/>
        </w:rPr>
        <w:t>terul Afacerilor Externe</w:t>
      </w:r>
      <w:r w:rsidRPr="00D4433B">
        <w:rPr>
          <w:rStyle w:val="s23c0e944"/>
          <w:lang w:val="ro-RO"/>
        </w:rPr>
        <w:t>.</w:t>
      </w:r>
    </w:p>
    <w:p w14:paraId="4496ECA8" w14:textId="7FAB3F54"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w:t>
      </w:r>
      <w:r w:rsidRPr="00D4433B">
        <w:rPr>
          <w:lang w:val="ro-RO"/>
        </w:rPr>
        <w:fldChar w:fldCharType="end"/>
      </w:r>
      <w:r w:rsidRPr="00D4433B">
        <w:rPr>
          <w:lang w:val="ro-RO"/>
        </w:rPr>
        <w:t>.  </w:t>
      </w:r>
      <w:r w:rsidR="003F2431" w:rsidRPr="00D4433B">
        <w:rPr>
          <w:lang w:val="ro-RO"/>
        </w:rPr>
        <w:t>Reclamanț</w:t>
      </w:r>
      <w:r w:rsidR="00793115" w:rsidRPr="00D4433B">
        <w:rPr>
          <w:lang w:val="ro-RO"/>
        </w:rPr>
        <w:t xml:space="preserve">ii au pretins că le-au fost încălcate drepturile la respectarea vieții </w:t>
      </w:r>
      <w:r w:rsidRPr="00D4433B">
        <w:rPr>
          <w:lang w:val="ro-RO"/>
        </w:rPr>
        <w:t xml:space="preserve">private </w:t>
      </w:r>
      <w:r w:rsidR="00793115" w:rsidRPr="00D4433B">
        <w:rPr>
          <w:lang w:val="ro-RO"/>
        </w:rPr>
        <w:t xml:space="preserve">și la </w:t>
      </w:r>
      <w:r w:rsidRPr="00D4433B">
        <w:rPr>
          <w:lang w:val="ro-RO"/>
        </w:rPr>
        <w:t>reputa</w:t>
      </w:r>
      <w:r w:rsidR="00793115" w:rsidRPr="00D4433B">
        <w:rPr>
          <w:lang w:val="ro-RO"/>
        </w:rPr>
        <w:t>ție</w:t>
      </w:r>
      <w:r w:rsidRPr="00D4433B">
        <w:rPr>
          <w:lang w:val="ro-RO"/>
        </w:rPr>
        <w:t>.</w:t>
      </w:r>
    </w:p>
    <w:p w14:paraId="6D01B275" w14:textId="68ACA040" w:rsidR="006D0621" w:rsidRPr="00D4433B" w:rsidRDefault="006D0621" w:rsidP="006D0621">
      <w:pPr>
        <w:pStyle w:val="JuPara"/>
        <w:rPr>
          <w:szCs w:val="22"/>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w:t>
      </w:r>
      <w:r w:rsidRPr="00D4433B">
        <w:rPr>
          <w:lang w:val="ro-RO"/>
        </w:rPr>
        <w:fldChar w:fldCharType="end"/>
      </w:r>
      <w:r w:rsidRPr="00D4433B">
        <w:rPr>
          <w:lang w:val="ro-RO"/>
        </w:rPr>
        <w:t>. </w:t>
      </w:r>
      <w:r w:rsidR="00793115" w:rsidRPr="00D4433B">
        <w:rPr>
          <w:lang w:val="ro-RO"/>
        </w:rPr>
        <w:t xml:space="preserve">La </w:t>
      </w:r>
      <w:r w:rsidRPr="00D4433B">
        <w:rPr>
          <w:lang w:val="ro-RO"/>
        </w:rPr>
        <w:t xml:space="preserve">15 </w:t>
      </w:r>
      <w:r w:rsidR="00793115" w:rsidRPr="00D4433B">
        <w:rPr>
          <w:lang w:val="ro-RO"/>
        </w:rPr>
        <w:t>n</w:t>
      </w:r>
      <w:r w:rsidRPr="00D4433B">
        <w:rPr>
          <w:lang w:val="ro-RO"/>
        </w:rPr>
        <w:t>o</w:t>
      </w:r>
      <w:r w:rsidR="00793115" w:rsidRPr="00D4433B">
        <w:rPr>
          <w:lang w:val="ro-RO"/>
        </w:rPr>
        <w:t>i</w:t>
      </w:r>
      <w:r w:rsidRPr="00D4433B">
        <w:rPr>
          <w:lang w:val="ro-RO"/>
        </w:rPr>
        <w:t>embr</w:t>
      </w:r>
      <w:r w:rsidR="00793115" w:rsidRPr="00D4433B">
        <w:rPr>
          <w:lang w:val="ro-RO"/>
        </w:rPr>
        <w:t>ie</w:t>
      </w:r>
      <w:r w:rsidRPr="00D4433B">
        <w:rPr>
          <w:lang w:val="ro-RO"/>
        </w:rPr>
        <w:t xml:space="preserve"> 2011 </w:t>
      </w:r>
      <w:r w:rsidR="00793115" w:rsidRPr="00D4433B">
        <w:rPr>
          <w:lang w:val="ro-RO"/>
        </w:rPr>
        <w:t xml:space="preserve">cererea a fost </w:t>
      </w:r>
      <w:r w:rsidRPr="00D4433B">
        <w:rPr>
          <w:lang w:val="ro-RO"/>
        </w:rPr>
        <w:t>comunicat</w:t>
      </w:r>
      <w:r w:rsidR="00793115" w:rsidRPr="00D4433B">
        <w:rPr>
          <w:lang w:val="ro-RO"/>
        </w:rPr>
        <w:t xml:space="preserve">ă </w:t>
      </w:r>
      <w:r w:rsidRPr="00D4433B">
        <w:rPr>
          <w:lang w:val="ro-RO"/>
        </w:rPr>
        <w:t>G</w:t>
      </w:r>
      <w:r w:rsidR="00793115" w:rsidRPr="00D4433B">
        <w:rPr>
          <w:lang w:val="ro-RO"/>
        </w:rPr>
        <w:t>u</w:t>
      </w:r>
      <w:r w:rsidRPr="00D4433B">
        <w:rPr>
          <w:lang w:val="ro-RO"/>
        </w:rPr>
        <w:t>vern</w:t>
      </w:r>
      <w:r w:rsidR="00793115" w:rsidRPr="00D4433B">
        <w:rPr>
          <w:lang w:val="ro-RO"/>
        </w:rPr>
        <w:t>ului</w:t>
      </w:r>
      <w:r w:rsidRPr="00D4433B">
        <w:rPr>
          <w:lang w:val="ro-RO"/>
        </w:rPr>
        <w:t xml:space="preserve">. </w:t>
      </w:r>
      <w:r w:rsidR="00793115" w:rsidRPr="00D4433B">
        <w:rPr>
          <w:lang w:val="ro-RO"/>
        </w:rPr>
        <w:t xml:space="preserve">La aceeași dată s-a decis pronunțarea asupra </w:t>
      </w:r>
      <w:r w:rsidRPr="00D4433B">
        <w:rPr>
          <w:lang w:val="ro-RO"/>
        </w:rPr>
        <w:t>admisibilit</w:t>
      </w:r>
      <w:r w:rsidR="00793115" w:rsidRPr="00D4433B">
        <w:rPr>
          <w:lang w:val="ro-RO"/>
        </w:rPr>
        <w:t xml:space="preserve">ății și fondului cererii </w:t>
      </w:r>
      <w:r w:rsidR="00CF6DB0" w:rsidRPr="00D4433B">
        <w:rPr>
          <w:lang w:val="ro-RO"/>
        </w:rPr>
        <w:t>(Artic</w:t>
      </w:r>
      <w:r w:rsidR="00793115" w:rsidRPr="00D4433B">
        <w:rPr>
          <w:lang w:val="ro-RO"/>
        </w:rPr>
        <w:t xml:space="preserve">olul </w:t>
      </w:r>
      <w:r w:rsidRPr="00D4433B">
        <w:rPr>
          <w:lang w:val="ro-RO"/>
        </w:rPr>
        <w:t>29 §</w:t>
      </w:r>
      <w:r w:rsidR="00CF6DB0" w:rsidRPr="00D4433B">
        <w:rPr>
          <w:lang w:val="ro-RO"/>
        </w:rPr>
        <w:t> </w:t>
      </w:r>
      <w:r w:rsidRPr="00D4433B">
        <w:rPr>
          <w:lang w:val="ro-RO"/>
        </w:rPr>
        <w:t>1).</w:t>
      </w:r>
    </w:p>
    <w:p w14:paraId="75283301" w14:textId="2E126FC4" w:rsidR="006D0621" w:rsidRPr="00D4433B" w:rsidRDefault="00793115" w:rsidP="006D0621">
      <w:pPr>
        <w:pStyle w:val="JuHHead"/>
        <w:rPr>
          <w:lang w:val="ro-RO"/>
        </w:rPr>
      </w:pPr>
      <w:r w:rsidRPr="00D4433B">
        <w:rPr>
          <w:lang w:val="ro-RO"/>
        </w:rPr>
        <w:t>FAPTELE</w:t>
      </w:r>
    </w:p>
    <w:p w14:paraId="22399AFC" w14:textId="0A9B374C" w:rsidR="006D0621" w:rsidRPr="00D4433B" w:rsidRDefault="006D0621" w:rsidP="006D0621">
      <w:pPr>
        <w:pStyle w:val="JuHIRoman"/>
        <w:outlineLvl w:val="0"/>
        <w:rPr>
          <w:lang w:val="ro-RO"/>
        </w:rPr>
      </w:pPr>
      <w:r w:rsidRPr="00D4433B">
        <w:rPr>
          <w:lang w:val="ro-RO"/>
        </w:rPr>
        <w:t>I.   CIRCUMSTAN</w:t>
      </w:r>
      <w:r w:rsidR="00793115" w:rsidRPr="00D4433B">
        <w:rPr>
          <w:lang w:val="ro-RO"/>
        </w:rPr>
        <w:t>ȚELE CAZULUI</w:t>
      </w:r>
    </w:p>
    <w:p w14:paraId="16FB8580" w14:textId="692B768F"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5</w:t>
      </w:r>
      <w:r w:rsidRPr="00D4433B">
        <w:rPr>
          <w:lang w:val="ro-RO"/>
        </w:rPr>
        <w:fldChar w:fldCharType="end"/>
      </w:r>
      <w:r w:rsidRPr="00D4433B">
        <w:rPr>
          <w:lang w:val="ro-RO"/>
        </w:rPr>
        <w:t>.  </w:t>
      </w:r>
      <w:r w:rsidR="003F2431" w:rsidRPr="00D4433B">
        <w:rPr>
          <w:lang w:val="ro-RO"/>
        </w:rPr>
        <w:t>Reclamanț</w:t>
      </w:r>
      <w:r w:rsidR="00793115" w:rsidRPr="00D4433B">
        <w:rPr>
          <w:lang w:val="ro-RO"/>
        </w:rPr>
        <w:t xml:space="preserve">ii </w:t>
      </w:r>
      <w:r w:rsidR="00342CC5" w:rsidRPr="00D4433B">
        <w:rPr>
          <w:lang w:val="ro-RO"/>
        </w:rPr>
        <w:t xml:space="preserve">locuiesc în </w:t>
      </w:r>
      <w:r w:rsidRPr="00D4433B">
        <w:rPr>
          <w:lang w:val="ro-RO"/>
        </w:rPr>
        <w:t>Katowice.</w:t>
      </w:r>
    </w:p>
    <w:p w14:paraId="4A3D2BB5" w14:textId="48C742D3" w:rsidR="006D0621" w:rsidRPr="00D4433B" w:rsidRDefault="006D0621" w:rsidP="002F5833">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w:t>
      </w:r>
      <w:r w:rsidRPr="00D4433B">
        <w:rPr>
          <w:lang w:val="ro-RO"/>
        </w:rPr>
        <w:fldChar w:fldCharType="end"/>
      </w:r>
      <w:r w:rsidRPr="00D4433B">
        <w:rPr>
          <w:lang w:val="ro-RO"/>
        </w:rPr>
        <w:t>.  </w:t>
      </w:r>
      <w:r w:rsidR="00342CC5" w:rsidRPr="00D4433B">
        <w:rPr>
          <w:lang w:val="ro-RO"/>
        </w:rPr>
        <w:t xml:space="preserve">În data de </w:t>
      </w:r>
      <w:r w:rsidRPr="00D4433B">
        <w:rPr>
          <w:lang w:val="ro-RO"/>
        </w:rPr>
        <w:t xml:space="preserve">8 </w:t>
      </w:r>
      <w:r w:rsidR="00342CC5" w:rsidRPr="00D4433B">
        <w:rPr>
          <w:lang w:val="ro-RO"/>
        </w:rPr>
        <w:t xml:space="preserve">mai </w:t>
      </w:r>
      <w:r w:rsidRPr="00D4433B">
        <w:rPr>
          <w:lang w:val="ro-RO"/>
        </w:rPr>
        <w:t xml:space="preserve">2002 </w:t>
      </w:r>
      <w:r w:rsidR="0091394C" w:rsidRPr="00D4433B">
        <w:rPr>
          <w:lang w:val="ro-RO"/>
        </w:rPr>
        <w:t xml:space="preserve">Tribunalul </w:t>
      </w:r>
      <w:r w:rsidR="00342CC5" w:rsidRPr="00D4433B">
        <w:rPr>
          <w:lang w:val="ro-RO"/>
        </w:rPr>
        <w:t xml:space="preserve">din Varșovia a admis cererea </w:t>
      </w:r>
      <w:r w:rsidR="003F2431" w:rsidRPr="00D4433B">
        <w:rPr>
          <w:lang w:val="ro-RO"/>
        </w:rPr>
        <w:t>reclamanț</w:t>
      </w:r>
      <w:r w:rsidR="00342CC5" w:rsidRPr="00D4433B">
        <w:rPr>
          <w:lang w:val="ro-RO"/>
        </w:rPr>
        <w:t xml:space="preserve">ilor în temeiul </w:t>
      </w:r>
      <w:r w:rsidRPr="00D4433B">
        <w:rPr>
          <w:lang w:val="ro-RO"/>
        </w:rPr>
        <w:t>Artic</w:t>
      </w:r>
      <w:r w:rsidR="00342CC5" w:rsidRPr="00D4433B">
        <w:rPr>
          <w:lang w:val="ro-RO"/>
        </w:rPr>
        <w:t xml:space="preserve">olelor </w:t>
      </w:r>
      <w:r w:rsidRPr="00D4433B">
        <w:rPr>
          <w:lang w:val="ro-RO"/>
        </w:rPr>
        <w:t xml:space="preserve">23 </w:t>
      </w:r>
      <w:r w:rsidR="00342CC5" w:rsidRPr="00D4433B">
        <w:rPr>
          <w:lang w:val="ro-RO"/>
        </w:rPr>
        <w:t xml:space="preserve">și </w:t>
      </w:r>
      <w:r w:rsidRPr="00D4433B">
        <w:rPr>
          <w:lang w:val="ro-RO"/>
        </w:rPr>
        <w:t xml:space="preserve">24 </w:t>
      </w:r>
      <w:r w:rsidR="00342CC5" w:rsidRPr="00D4433B">
        <w:rPr>
          <w:lang w:val="ro-RO"/>
        </w:rPr>
        <w:t xml:space="preserve">din Codul </w:t>
      </w:r>
      <w:r w:rsidRPr="00D4433B">
        <w:rPr>
          <w:lang w:val="ro-RO"/>
        </w:rPr>
        <w:t xml:space="preserve">Civil </w:t>
      </w:r>
      <w:r w:rsidR="00342CC5" w:rsidRPr="00D4433B">
        <w:rPr>
          <w:lang w:val="ro-RO"/>
        </w:rPr>
        <w:t xml:space="preserve">privind protejarea drepturilor </w:t>
      </w:r>
      <w:r w:rsidRPr="00D4433B">
        <w:rPr>
          <w:lang w:val="ro-RO"/>
        </w:rPr>
        <w:t>personal</w:t>
      </w:r>
      <w:r w:rsidR="00342CC5" w:rsidRPr="00D4433B">
        <w:rPr>
          <w:lang w:val="ro-RO"/>
        </w:rPr>
        <w:t>e</w:t>
      </w:r>
      <w:r w:rsidRPr="00D4433B">
        <w:rPr>
          <w:lang w:val="ro-RO"/>
        </w:rPr>
        <w:t xml:space="preserve">. </w:t>
      </w:r>
      <w:r w:rsidR="00342CC5" w:rsidRPr="00D4433B">
        <w:rPr>
          <w:lang w:val="ro-RO"/>
        </w:rPr>
        <w:t xml:space="preserve">Instanța a reținut că </w:t>
      </w:r>
      <w:r w:rsidRPr="00D4433B">
        <w:rPr>
          <w:lang w:val="ro-RO"/>
        </w:rPr>
        <w:t xml:space="preserve">B.K. </w:t>
      </w:r>
      <w:r w:rsidR="00342CC5" w:rsidRPr="00D4433B">
        <w:rPr>
          <w:lang w:val="ro-RO"/>
        </w:rPr>
        <w:t xml:space="preserve">și </w:t>
      </w:r>
      <w:r w:rsidRPr="00D4433B">
        <w:rPr>
          <w:lang w:val="ro-RO"/>
        </w:rPr>
        <w:t>A.M., jurnali</w:t>
      </w:r>
      <w:r w:rsidR="00342CC5" w:rsidRPr="00D4433B">
        <w:rPr>
          <w:lang w:val="ro-RO"/>
        </w:rPr>
        <w:t xml:space="preserve">ști </w:t>
      </w:r>
      <w:r w:rsidR="00342CC5" w:rsidRPr="00D4433B">
        <w:rPr>
          <w:lang w:val="ro-RO"/>
        </w:rPr>
        <w:lastRenderedPageBreak/>
        <w:t>angajați la cotidianul na</w:t>
      </w:r>
      <w:r w:rsidR="00AA03C5" w:rsidRPr="00D4433B">
        <w:rPr>
          <w:lang w:val="ro-RO"/>
        </w:rPr>
        <w:t>ț</w:t>
      </w:r>
      <w:r w:rsidR="00342CC5" w:rsidRPr="00D4433B">
        <w:rPr>
          <w:lang w:val="ro-RO"/>
        </w:rPr>
        <w:t xml:space="preserve">ional </w:t>
      </w:r>
      <w:proofErr w:type="spellStart"/>
      <w:r w:rsidRPr="00D4433B">
        <w:rPr>
          <w:i/>
          <w:lang w:val="ro-RO"/>
        </w:rPr>
        <w:t>Rzeczpospolita</w:t>
      </w:r>
      <w:proofErr w:type="spellEnd"/>
      <w:r w:rsidRPr="00D4433B">
        <w:rPr>
          <w:lang w:val="ro-RO"/>
        </w:rPr>
        <w:t xml:space="preserve">, </w:t>
      </w:r>
      <w:r w:rsidR="00342CC5" w:rsidRPr="00D4433B">
        <w:rPr>
          <w:lang w:val="ro-RO"/>
        </w:rPr>
        <w:t xml:space="preserve">au </w:t>
      </w:r>
      <w:r w:rsidRPr="00D4433B">
        <w:rPr>
          <w:lang w:val="ro-RO"/>
        </w:rPr>
        <w:t>publi</w:t>
      </w:r>
      <w:r w:rsidR="00342CC5" w:rsidRPr="00D4433B">
        <w:rPr>
          <w:lang w:val="ro-RO"/>
        </w:rPr>
        <w:t xml:space="preserve">cat un </w:t>
      </w:r>
      <w:r w:rsidRPr="00D4433B">
        <w:rPr>
          <w:lang w:val="ro-RO"/>
        </w:rPr>
        <w:t>artic</w:t>
      </w:r>
      <w:r w:rsidR="00342CC5" w:rsidRPr="00D4433B">
        <w:rPr>
          <w:lang w:val="ro-RO"/>
        </w:rPr>
        <w:t>ol privind mai mulți politicieni</w:t>
      </w:r>
      <w:r w:rsidRPr="00D4433B">
        <w:rPr>
          <w:lang w:val="ro-RO"/>
        </w:rPr>
        <w:t xml:space="preserve">. </w:t>
      </w:r>
      <w:r w:rsidR="00342CC5" w:rsidRPr="00D4433B">
        <w:rPr>
          <w:lang w:val="ro-RO"/>
        </w:rPr>
        <w:t xml:space="preserve">Jurnaliștii pretindeau că </w:t>
      </w:r>
      <w:r w:rsidR="003F2431" w:rsidRPr="00D4433B">
        <w:rPr>
          <w:lang w:val="ro-RO"/>
        </w:rPr>
        <w:t>reclamanț</w:t>
      </w:r>
      <w:r w:rsidR="00342CC5" w:rsidRPr="00D4433B">
        <w:rPr>
          <w:lang w:val="ro-RO"/>
        </w:rPr>
        <w:t xml:space="preserve">ii, care erau avocați, </w:t>
      </w:r>
      <w:r w:rsidR="002F5833" w:rsidRPr="00D4433B">
        <w:rPr>
          <w:lang w:val="ro-RO"/>
        </w:rPr>
        <w:t>câștigaseră o avere de-a lungul anilor oferind asistență în afaceri dubioase în care erau implicați politicienii menționați</w:t>
      </w:r>
      <w:r w:rsidRPr="00D4433B">
        <w:rPr>
          <w:lang w:val="ro-RO"/>
        </w:rPr>
        <w:t xml:space="preserve">. </w:t>
      </w:r>
      <w:r w:rsidR="002F5833" w:rsidRPr="00D4433B">
        <w:rPr>
          <w:lang w:val="ro-RO"/>
        </w:rPr>
        <w:t xml:space="preserve">Jurnaliștii au pretins </w:t>
      </w:r>
      <w:r w:rsidR="00AA03C5" w:rsidRPr="00D4433B">
        <w:rPr>
          <w:lang w:val="ro-RO"/>
        </w:rPr>
        <w:t xml:space="preserve">că </w:t>
      </w:r>
      <w:r w:rsidR="003F2431" w:rsidRPr="00D4433B">
        <w:rPr>
          <w:lang w:val="ro-RO"/>
        </w:rPr>
        <w:t>reclamanț</w:t>
      </w:r>
      <w:r w:rsidR="00AA03C5" w:rsidRPr="00D4433B">
        <w:rPr>
          <w:lang w:val="ro-RO"/>
        </w:rPr>
        <w:t xml:space="preserve">ii au cheltuit bani publici profitând de pozițiile lor obținând beneficii nejustificate din modul în care și-au jucat rolul profesional de </w:t>
      </w:r>
      <w:r w:rsidRPr="00D4433B">
        <w:rPr>
          <w:lang w:val="ro-RO"/>
        </w:rPr>
        <w:t>li</w:t>
      </w:r>
      <w:r w:rsidR="00AA03C5" w:rsidRPr="00D4433B">
        <w:rPr>
          <w:lang w:val="ro-RO"/>
        </w:rPr>
        <w:t>chidatori ai companiilor de stat aflate în faliment</w:t>
      </w:r>
      <w:r w:rsidRPr="00D4433B">
        <w:rPr>
          <w:lang w:val="ro-RO"/>
        </w:rPr>
        <w:t>.</w:t>
      </w:r>
    </w:p>
    <w:p w14:paraId="27C29F0A" w14:textId="1FF9C4FA"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7</w:t>
      </w:r>
      <w:r w:rsidRPr="00D4433B">
        <w:rPr>
          <w:lang w:val="ro-RO"/>
        </w:rPr>
        <w:fldChar w:fldCharType="end"/>
      </w:r>
      <w:r w:rsidRPr="00D4433B">
        <w:rPr>
          <w:lang w:val="ro-RO"/>
        </w:rPr>
        <w:t>.  </w:t>
      </w:r>
      <w:r w:rsidR="00AA03C5" w:rsidRPr="00D4433B">
        <w:rPr>
          <w:lang w:val="ro-RO"/>
        </w:rPr>
        <w:t xml:space="preserve">Instanța a observat că </w:t>
      </w:r>
      <w:r w:rsidRPr="00D4433B">
        <w:rPr>
          <w:lang w:val="ro-RO"/>
        </w:rPr>
        <w:t>jurnali</w:t>
      </w:r>
      <w:r w:rsidR="00AA03C5" w:rsidRPr="00D4433B">
        <w:rPr>
          <w:lang w:val="ro-RO"/>
        </w:rPr>
        <w:t xml:space="preserve">știi nu au reușit să îi </w:t>
      </w:r>
      <w:r w:rsidRPr="00D4433B">
        <w:rPr>
          <w:lang w:val="ro-RO"/>
        </w:rPr>
        <w:t>contact</w:t>
      </w:r>
      <w:r w:rsidR="00AA03C5" w:rsidRPr="00D4433B">
        <w:rPr>
          <w:lang w:val="ro-RO"/>
        </w:rPr>
        <w:t>eze</w:t>
      </w:r>
      <w:r w:rsidRPr="00D4433B">
        <w:rPr>
          <w:lang w:val="ro-RO"/>
        </w:rPr>
        <w:t xml:space="preserve"> </w:t>
      </w:r>
      <w:r w:rsidR="00AA03C5" w:rsidRPr="00D4433B">
        <w:rPr>
          <w:lang w:val="ro-RO"/>
        </w:rPr>
        <w:t xml:space="preserve">pe </w:t>
      </w:r>
      <w:r w:rsidR="003F2431" w:rsidRPr="00D4433B">
        <w:rPr>
          <w:lang w:val="ro-RO"/>
        </w:rPr>
        <w:t>reclamanț</w:t>
      </w:r>
      <w:r w:rsidR="00AA03C5" w:rsidRPr="00D4433B">
        <w:rPr>
          <w:lang w:val="ro-RO"/>
        </w:rPr>
        <w:t xml:space="preserve">i și că </w:t>
      </w:r>
      <w:r w:rsidR="00937A7E" w:rsidRPr="00D4433B">
        <w:rPr>
          <w:lang w:val="ro-RO"/>
        </w:rPr>
        <w:t>afirmațiile acestora s-au bazat</w:t>
      </w:r>
      <w:r w:rsidRPr="00D4433B">
        <w:rPr>
          <w:lang w:val="ro-RO"/>
        </w:rPr>
        <w:t xml:space="preserve">, </w:t>
      </w:r>
      <w:r w:rsidR="00937A7E" w:rsidRPr="00D4433B">
        <w:rPr>
          <w:lang w:val="ro-RO"/>
        </w:rPr>
        <w:t>în mare măsură, pe bârfe sau pe informații neverificate</w:t>
      </w:r>
      <w:r w:rsidRPr="00D4433B">
        <w:rPr>
          <w:lang w:val="ro-RO"/>
        </w:rPr>
        <w:t xml:space="preserve">. </w:t>
      </w:r>
      <w:r w:rsidR="00937A7E" w:rsidRPr="00D4433B">
        <w:rPr>
          <w:lang w:val="ro-RO"/>
        </w:rPr>
        <w:t xml:space="preserve">A reținut că </w:t>
      </w:r>
      <w:r w:rsidRPr="00D4433B">
        <w:rPr>
          <w:lang w:val="ro-RO"/>
        </w:rPr>
        <w:t>jurnali</w:t>
      </w:r>
      <w:r w:rsidR="00937A7E" w:rsidRPr="00D4433B">
        <w:rPr>
          <w:lang w:val="ro-RO"/>
        </w:rPr>
        <w:t xml:space="preserve">știi aveau un drept și o </w:t>
      </w:r>
      <w:r w:rsidRPr="00D4433B">
        <w:rPr>
          <w:lang w:val="ro-RO"/>
        </w:rPr>
        <w:t>obliga</w:t>
      </w:r>
      <w:r w:rsidR="00937A7E" w:rsidRPr="00D4433B">
        <w:rPr>
          <w:lang w:val="ro-RO"/>
        </w:rPr>
        <w:t>ție</w:t>
      </w:r>
      <w:r w:rsidRPr="00D4433B">
        <w:rPr>
          <w:lang w:val="ro-RO"/>
        </w:rPr>
        <w:t xml:space="preserve"> </w:t>
      </w:r>
      <w:r w:rsidR="00937A7E" w:rsidRPr="00D4433B">
        <w:rPr>
          <w:lang w:val="ro-RO"/>
        </w:rPr>
        <w:t xml:space="preserve">de a </w:t>
      </w:r>
      <w:r w:rsidRPr="00D4433B">
        <w:rPr>
          <w:lang w:val="ro-RO"/>
        </w:rPr>
        <w:t>inform</w:t>
      </w:r>
      <w:r w:rsidR="00937A7E" w:rsidRPr="00D4433B">
        <w:rPr>
          <w:lang w:val="ro-RO"/>
        </w:rPr>
        <w:t>a</w:t>
      </w:r>
      <w:r w:rsidRPr="00D4433B">
        <w:rPr>
          <w:lang w:val="ro-RO"/>
        </w:rPr>
        <w:t xml:space="preserve"> societ</w:t>
      </w:r>
      <w:r w:rsidR="00937A7E" w:rsidRPr="00D4433B">
        <w:rPr>
          <w:lang w:val="ro-RO"/>
        </w:rPr>
        <w:t>atea</w:t>
      </w:r>
      <w:r w:rsidRPr="00D4433B">
        <w:rPr>
          <w:lang w:val="ro-RO"/>
        </w:rPr>
        <w:t xml:space="preserve"> </w:t>
      </w:r>
      <w:r w:rsidR="00937A7E" w:rsidRPr="00D4433B">
        <w:rPr>
          <w:lang w:val="ro-RO"/>
        </w:rPr>
        <w:t xml:space="preserve">despre chestiuni </w:t>
      </w:r>
      <w:r w:rsidRPr="00D4433B">
        <w:rPr>
          <w:lang w:val="ro-RO"/>
        </w:rPr>
        <w:t>important</w:t>
      </w:r>
      <w:r w:rsidR="00937A7E" w:rsidRPr="00D4433B">
        <w:rPr>
          <w:lang w:val="ro-RO"/>
        </w:rPr>
        <w:t>e</w:t>
      </w:r>
      <w:r w:rsidRPr="00D4433B">
        <w:rPr>
          <w:lang w:val="ro-RO"/>
        </w:rPr>
        <w:t xml:space="preserve"> </w:t>
      </w:r>
      <w:r w:rsidR="00937A7E" w:rsidRPr="00D4433B">
        <w:rPr>
          <w:lang w:val="ro-RO"/>
        </w:rPr>
        <w:t>și că s-au bucurat de libertatea de exprimare</w:t>
      </w:r>
      <w:r w:rsidRPr="00D4433B">
        <w:rPr>
          <w:lang w:val="ro-RO"/>
        </w:rPr>
        <w:t>, garant</w:t>
      </w:r>
      <w:r w:rsidR="00937A7E" w:rsidRPr="00D4433B">
        <w:rPr>
          <w:lang w:val="ro-RO"/>
        </w:rPr>
        <w:t xml:space="preserve">ată de </w:t>
      </w:r>
      <w:r w:rsidRPr="00D4433B">
        <w:rPr>
          <w:lang w:val="ro-RO"/>
        </w:rPr>
        <w:t>Consti</w:t>
      </w:r>
      <w:r w:rsidR="00937A7E" w:rsidRPr="00D4433B">
        <w:rPr>
          <w:lang w:val="ro-RO"/>
        </w:rPr>
        <w:t>tuție</w:t>
      </w:r>
      <w:r w:rsidRPr="00D4433B">
        <w:rPr>
          <w:lang w:val="ro-RO"/>
        </w:rPr>
        <w:t xml:space="preserve">. </w:t>
      </w:r>
      <w:r w:rsidR="00937A7E" w:rsidRPr="00D4433B">
        <w:rPr>
          <w:lang w:val="ro-RO"/>
        </w:rPr>
        <w:t xml:space="preserve">Însă, </w:t>
      </w:r>
      <w:r w:rsidRPr="00D4433B">
        <w:rPr>
          <w:lang w:val="ro-RO"/>
        </w:rPr>
        <w:t>autor</w:t>
      </w:r>
      <w:r w:rsidR="00937A7E" w:rsidRPr="00D4433B">
        <w:rPr>
          <w:lang w:val="ro-RO"/>
        </w:rPr>
        <w:t xml:space="preserve">ii articolului nu au întreprins minimum de pași </w:t>
      </w:r>
      <w:r w:rsidRPr="00D4433B">
        <w:rPr>
          <w:lang w:val="ro-RO"/>
        </w:rPr>
        <w:t>necesar</w:t>
      </w:r>
      <w:r w:rsidR="00937A7E" w:rsidRPr="00D4433B">
        <w:rPr>
          <w:lang w:val="ro-RO"/>
        </w:rPr>
        <w:t xml:space="preserve">i pentru a </w:t>
      </w:r>
      <w:r w:rsidRPr="00D4433B">
        <w:rPr>
          <w:lang w:val="ro-RO"/>
        </w:rPr>
        <w:t>verif</w:t>
      </w:r>
      <w:r w:rsidR="00937A7E" w:rsidRPr="00D4433B">
        <w:rPr>
          <w:lang w:val="ro-RO"/>
        </w:rPr>
        <w:t xml:space="preserve">ica </w:t>
      </w:r>
      <w:r w:rsidRPr="00D4433B">
        <w:rPr>
          <w:lang w:val="ro-RO"/>
        </w:rPr>
        <w:t>informa</w:t>
      </w:r>
      <w:r w:rsidR="00937A7E" w:rsidRPr="00D4433B">
        <w:rPr>
          <w:lang w:val="ro-RO"/>
        </w:rPr>
        <w:t xml:space="preserve">țiile cuprinse în </w:t>
      </w:r>
      <w:r w:rsidRPr="00D4433B">
        <w:rPr>
          <w:lang w:val="ro-RO"/>
        </w:rPr>
        <w:t>artic</w:t>
      </w:r>
      <w:r w:rsidR="00937A7E" w:rsidRPr="00D4433B">
        <w:rPr>
          <w:lang w:val="ro-RO"/>
        </w:rPr>
        <w:t xml:space="preserve">ol </w:t>
      </w:r>
      <w:r w:rsidR="009B7A29" w:rsidRPr="00D4433B">
        <w:rPr>
          <w:lang w:val="ro-RO"/>
        </w:rPr>
        <w:t xml:space="preserve">cel puțin prin luarea legăturii cu </w:t>
      </w:r>
      <w:r w:rsidR="003F2431" w:rsidRPr="00D4433B">
        <w:rPr>
          <w:lang w:val="ro-RO"/>
        </w:rPr>
        <w:t>reclamanț</w:t>
      </w:r>
      <w:r w:rsidR="009B7A29" w:rsidRPr="00D4433B">
        <w:rPr>
          <w:lang w:val="ro-RO"/>
        </w:rPr>
        <w:t xml:space="preserve">ii și prin încercarea de a </w:t>
      </w:r>
      <w:r w:rsidRPr="00D4433B">
        <w:rPr>
          <w:lang w:val="ro-RO"/>
        </w:rPr>
        <w:t>ob</w:t>
      </w:r>
      <w:r w:rsidR="009B7A29" w:rsidRPr="00D4433B">
        <w:rPr>
          <w:lang w:val="ro-RO"/>
        </w:rPr>
        <w:t xml:space="preserve">ține </w:t>
      </w:r>
      <w:r w:rsidRPr="00D4433B">
        <w:rPr>
          <w:lang w:val="ro-RO"/>
        </w:rPr>
        <w:t>coment</w:t>
      </w:r>
      <w:r w:rsidR="009B7A29" w:rsidRPr="00D4433B">
        <w:rPr>
          <w:lang w:val="ro-RO"/>
        </w:rPr>
        <w:t>arii din partea acestora</w:t>
      </w:r>
      <w:r w:rsidRPr="00D4433B">
        <w:rPr>
          <w:lang w:val="ro-RO"/>
        </w:rPr>
        <w:t xml:space="preserve">. </w:t>
      </w:r>
      <w:r w:rsidR="009B7A29" w:rsidRPr="00D4433B">
        <w:rPr>
          <w:lang w:val="ro-RO"/>
        </w:rPr>
        <w:t xml:space="preserve">Afirmațiile nu au demonstrat că au o substanță </w:t>
      </w:r>
      <w:r w:rsidR="00386844" w:rsidRPr="00D4433B">
        <w:rPr>
          <w:lang w:val="ro-RO"/>
        </w:rPr>
        <w:t>real</w:t>
      </w:r>
      <w:r w:rsidR="009B7A29" w:rsidRPr="00D4433B">
        <w:rPr>
          <w:lang w:val="ro-RO"/>
        </w:rPr>
        <w:t xml:space="preserve">ă </w:t>
      </w:r>
      <w:r w:rsidRPr="00D4433B">
        <w:rPr>
          <w:lang w:val="ro-RO"/>
        </w:rPr>
        <w:t>plau</w:t>
      </w:r>
      <w:r w:rsidR="009B7A29" w:rsidRPr="00D4433B">
        <w:rPr>
          <w:lang w:val="ro-RO"/>
        </w:rPr>
        <w:t>zibilă</w:t>
      </w:r>
      <w:r w:rsidRPr="00D4433B">
        <w:rPr>
          <w:lang w:val="ro-RO"/>
        </w:rPr>
        <w:t xml:space="preserve">. </w:t>
      </w:r>
      <w:r w:rsidR="009B7A29" w:rsidRPr="00D4433B">
        <w:rPr>
          <w:lang w:val="ro-RO"/>
        </w:rPr>
        <w:t xml:space="preserve">Jurnaliștii au pătat bunul nume și renumele </w:t>
      </w:r>
      <w:r w:rsidR="003F2431" w:rsidRPr="00D4433B">
        <w:rPr>
          <w:lang w:val="ro-RO"/>
        </w:rPr>
        <w:t>reclamanț</w:t>
      </w:r>
      <w:r w:rsidR="009B7A29" w:rsidRPr="00D4433B">
        <w:rPr>
          <w:lang w:val="ro-RO"/>
        </w:rPr>
        <w:t>ilor</w:t>
      </w:r>
      <w:r w:rsidRPr="00D4433B">
        <w:rPr>
          <w:lang w:val="ro-RO"/>
        </w:rPr>
        <w:t xml:space="preserve">. </w:t>
      </w:r>
      <w:r w:rsidR="009B7A29" w:rsidRPr="00D4433B">
        <w:rPr>
          <w:lang w:val="ro-RO"/>
        </w:rPr>
        <w:t xml:space="preserve">Instanța a admis integral cererea </w:t>
      </w:r>
      <w:r w:rsidR="003F2431" w:rsidRPr="00D4433B">
        <w:rPr>
          <w:lang w:val="ro-RO"/>
        </w:rPr>
        <w:t>reclamanț</w:t>
      </w:r>
      <w:r w:rsidR="009B7A29" w:rsidRPr="00D4433B">
        <w:rPr>
          <w:lang w:val="ro-RO"/>
        </w:rPr>
        <w:t>ilor</w:t>
      </w:r>
      <w:r w:rsidRPr="00D4433B">
        <w:rPr>
          <w:lang w:val="ro-RO"/>
        </w:rPr>
        <w:t xml:space="preserve">, </w:t>
      </w:r>
      <w:r w:rsidR="009B7A29" w:rsidRPr="00D4433B">
        <w:rPr>
          <w:lang w:val="ro-RO"/>
        </w:rPr>
        <w:t>ordonând jurnaliștilor și redactorului șef să plătească</w:t>
      </w:r>
      <w:r w:rsidRPr="00D4433B">
        <w:rPr>
          <w:lang w:val="ro-RO"/>
        </w:rPr>
        <w:t xml:space="preserve">, </w:t>
      </w:r>
      <w:r w:rsidR="0091394C" w:rsidRPr="00D4433B">
        <w:rPr>
          <w:lang w:val="ro-RO"/>
        </w:rPr>
        <w:t>în solidar</w:t>
      </w:r>
      <w:r w:rsidRPr="00D4433B">
        <w:rPr>
          <w:lang w:val="ro-RO"/>
        </w:rPr>
        <w:t>, 30</w:t>
      </w:r>
      <w:r w:rsidR="0091394C" w:rsidRPr="00D4433B">
        <w:rPr>
          <w:lang w:val="ro-RO"/>
        </w:rPr>
        <w:t>.</w:t>
      </w:r>
      <w:r w:rsidRPr="00D4433B">
        <w:rPr>
          <w:lang w:val="ro-RO"/>
        </w:rPr>
        <w:t xml:space="preserve">000 </w:t>
      </w:r>
      <w:proofErr w:type="spellStart"/>
      <w:r w:rsidR="0091394C" w:rsidRPr="00D4433B">
        <w:rPr>
          <w:lang w:val="ro-RO"/>
        </w:rPr>
        <w:t>PLN</w:t>
      </w:r>
      <w:proofErr w:type="spellEnd"/>
      <w:r w:rsidR="0091394C" w:rsidRPr="00D4433B">
        <w:rPr>
          <w:lang w:val="ro-RO"/>
        </w:rPr>
        <w:t xml:space="preserve"> pentru o acțiune caritabilă și să </w:t>
      </w:r>
      <w:r w:rsidRPr="00D4433B">
        <w:rPr>
          <w:lang w:val="ro-RO"/>
        </w:rPr>
        <w:t>publi</w:t>
      </w:r>
      <w:r w:rsidR="0091394C" w:rsidRPr="00D4433B">
        <w:rPr>
          <w:lang w:val="ro-RO"/>
        </w:rPr>
        <w:t>ce  scuzele în ziar</w:t>
      </w:r>
      <w:r w:rsidRPr="00D4433B">
        <w:rPr>
          <w:lang w:val="ro-RO"/>
        </w:rPr>
        <w:t>.</w:t>
      </w:r>
    </w:p>
    <w:p w14:paraId="705C05C4" w14:textId="3BE9D94C"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8</w:t>
      </w:r>
      <w:r w:rsidRPr="00D4433B">
        <w:rPr>
          <w:lang w:val="ro-RO"/>
        </w:rPr>
        <w:fldChar w:fldCharType="end"/>
      </w:r>
      <w:r w:rsidRPr="00D4433B">
        <w:rPr>
          <w:lang w:val="ro-RO"/>
        </w:rPr>
        <w:t>.  </w:t>
      </w:r>
      <w:r w:rsidR="00086927" w:rsidRPr="00D4433B">
        <w:rPr>
          <w:lang w:val="ro-RO"/>
        </w:rPr>
        <w:t>Pârâți</w:t>
      </w:r>
      <w:r w:rsidR="0091394C" w:rsidRPr="00D4433B">
        <w:rPr>
          <w:lang w:val="ro-RO"/>
        </w:rPr>
        <w:t>i au făcut apel</w:t>
      </w:r>
      <w:r w:rsidRPr="00D4433B">
        <w:rPr>
          <w:lang w:val="ro-RO"/>
        </w:rPr>
        <w:t xml:space="preserve">. </w:t>
      </w:r>
      <w:r w:rsidR="0091394C" w:rsidRPr="00D4433B">
        <w:rPr>
          <w:lang w:val="ro-RO"/>
        </w:rPr>
        <w:t xml:space="preserve">În data de </w:t>
      </w:r>
      <w:r w:rsidRPr="00D4433B">
        <w:rPr>
          <w:lang w:val="ro-RO"/>
        </w:rPr>
        <w:t xml:space="preserve">24 </w:t>
      </w:r>
      <w:r w:rsidR="0091394C" w:rsidRPr="00D4433B">
        <w:rPr>
          <w:lang w:val="ro-RO"/>
        </w:rPr>
        <w:t xml:space="preserve">aprilie </w:t>
      </w:r>
      <w:r w:rsidRPr="00D4433B">
        <w:rPr>
          <w:lang w:val="ro-RO"/>
        </w:rPr>
        <w:t xml:space="preserve">2003 </w:t>
      </w:r>
      <w:r w:rsidR="0091394C" w:rsidRPr="00D4433B">
        <w:rPr>
          <w:lang w:val="ro-RO"/>
        </w:rPr>
        <w:t>Curtea de Apel din Varșovia a respins apelul acestora</w:t>
      </w:r>
      <w:r w:rsidRPr="00D4433B">
        <w:rPr>
          <w:lang w:val="ro-RO"/>
        </w:rPr>
        <w:t xml:space="preserve">, </w:t>
      </w:r>
      <w:r w:rsidR="0091394C" w:rsidRPr="00D4433B">
        <w:rPr>
          <w:lang w:val="ro-RO"/>
        </w:rPr>
        <w:t>reiterând constatările privind faptele și motivarea primei instanțe</w:t>
      </w:r>
      <w:r w:rsidRPr="00D4433B">
        <w:rPr>
          <w:lang w:val="ro-RO"/>
        </w:rPr>
        <w:t>.</w:t>
      </w:r>
      <w:r w:rsidR="0090070F" w:rsidRPr="00D4433B">
        <w:rPr>
          <w:lang w:val="ro-RO"/>
        </w:rPr>
        <w:t xml:space="preserve"> </w:t>
      </w:r>
      <w:r w:rsidR="0091394C" w:rsidRPr="00D4433B">
        <w:rPr>
          <w:lang w:val="ro-RO"/>
        </w:rPr>
        <w:t xml:space="preserve">Obligațiile </w:t>
      </w:r>
      <w:r w:rsidRPr="00D4433B">
        <w:rPr>
          <w:lang w:val="ro-RO"/>
        </w:rPr>
        <w:t>imp</w:t>
      </w:r>
      <w:r w:rsidR="00401E4B" w:rsidRPr="00D4433B">
        <w:rPr>
          <w:lang w:val="ro-RO"/>
        </w:rPr>
        <w:t xml:space="preserve">use de instanțe au fost ulterior respectate de ziarul </w:t>
      </w:r>
      <w:r w:rsidR="00086927" w:rsidRPr="00D4433B">
        <w:rPr>
          <w:lang w:val="ro-RO"/>
        </w:rPr>
        <w:t>pârâ</w:t>
      </w:r>
      <w:r w:rsidR="00401E4B" w:rsidRPr="00D4433B">
        <w:rPr>
          <w:lang w:val="ro-RO"/>
        </w:rPr>
        <w:t>t</w:t>
      </w:r>
      <w:r w:rsidRPr="00D4433B">
        <w:rPr>
          <w:lang w:val="ro-RO"/>
        </w:rPr>
        <w:t>.</w:t>
      </w:r>
    </w:p>
    <w:p w14:paraId="155626D1" w14:textId="78CE48FB" w:rsidR="006D0621" w:rsidRPr="00D4433B" w:rsidRDefault="005E3530"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9</w:t>
      </w:r>
      <w:r w:rsidRPr="00D4433B">
        <w:rPr>
          <w:lang w:val="ro-RO"/>
        </w:rPr>
        <w:fldChar w:fldCharType="end"/>
      </w:r>
      <w:r w:rsidRPr="00D4433B">
        <w:rPr>
          <w:lang w:val="ro-RO"/>
        </w:rPr>
        <w:t>.  </w:t>
      </w:r>
      <w:r w:rsidR="00401E4B" w:rsidRPr="00D4433B">
        <w:rPr>
          <w:lang w:val="ro-RO"/>
        </w:rPr>
        <w:t xml:space="preserve">La data de </w:t>
      </w:r>
      <w:r w:rsidR="006D0621" w:rsidRPr="00D4433B">
        <w:rPr>
          <w:lang w:val="ro-RO"/>
        </w:rPr>
        <w:t xml:space="preserve">7 </w:t>
      </w:r>
      <w:r w:rsidR="00401E4B" w:rsidRPr="00D4433B">
        <w:rPr>
          <w:lang w:val="ro-RO"/>
        </w:rPr>
        <w:t xml:space="preserve">iulie </w:t>
      </w:r>
      <w:r w:rsidR="006D0621" w:rsidRPr="00D4433B">
        <w:rPr>
          <w:lang w:val="ro-RO"/>
        </w:rPr>
        <w:t xml:space="preserve">2004 </w:t>
      </w:r>
      <w:r w:rsidR="003F2431" w:rsidRPr="00D4433B">
        <w:rPr>
          <w:lang w:val="ro-RO"/>
        </w:rPr>
        <w:t>reclamanț</w:t>
      </w:r>
      <w:r w:rsidR="00401E4B" w:rsidRPr="00D4433B">
        <w:rPr>
          <w:lang w:val="ro-RO"/>
        </w:rPr>
        <w:t xml:space="preserve">ii au dat din nou în judecată ziarul în temeiul acelorași prevederi ale Codului </w:t>
      </w:r>
      <w:r w:rsidR="006D0621" w:rsidRPr="00D4433B">
        <w:rPr>
          <w:lang w:val="ro-RO"/>
        </w:rPr>
        <w:t>Civil</w:t>
      </w:r>
      <w:r w:rsidR="00401E4B" w:rsidRPr="00D4433B">
        <w:rPr>
          <w:lang w:val="ro-RO"/>
        </w:rPr>
        <w:t xml:space="preserve"> </w:t>
      </w:r>
      <w:r w:rsidR="006D0621" w:rsidRPr="00D4433B">
        <w:rPr>
          <w:lang w:val="ro-RO"/>
        </w:rPr>
        <w:t>(</w:t>
      </w:r>
      <w:r w:rsidR="00401E4B" w:rsidRPr="00D4433B">
        <w:rPr>
          <w:lang w:val="ro-RO"/>
        </w:rPr>
        <w:t xml:space="preserve">a se vedea </w:t>
      </w:r>
      <w:r w:rsidR="006D0621" w:rsidRPr="00D4433B">
        <w:rPr>
          <w:lang w:val="ro-RO"/>
        </w:rPr>
        <w:t>paragra</w:t>
      </w:r>
      <w:r w:rsidR="00401E4B" w:rsidRPr="00D4433B">
        <w:rPr>
          <w:lang w:val="ro-RO"/>
        </w:rPr>
        <w:t xml:space="preserve">ful </w:t>
      </w:r>
      <w:r w:rsidR="006D0621" w:rsidRPr="00D4433B">
        <w:rPr>
          <w:lang w:val="ro-RO"/>
        </w:rPr>
        <w:t xml:space="preserve">6 </w:t>
      </w:r>
      <w:r w:rsidR="00401E4B" w:rsidRPr="00D4433B">
        <w:rPr>
          <w:lang w:val="ro-RO"/>
        </w:rPr>
        <w:t>de mai sus</w:t>
      </w:r>
      <w:r w:rsidR="006D0621" w:rsidRPr="00D4433B">
        <w:rPr>
          <w:lang w:val="ro-RO"/>
        </w:rPr>
        <w:t xml:space="preserve">). </w:t>
      </w:r>
      <w:r w:rsidR="00401E4B" w:rsidRPr="00D4433B">
        <w:rPr>
          <w:lang w:val="ro-RO"/>
        </w:rPr>
        <w:t xml:space="preserve">Aceștia au pretins că au aflat recent că </w:t>
      </w:r>
      <w:r w:rsidR="0024624F" w:rsidRPr="00D4433B">
        <w:rPr>
          <w:lang w:val="ro-RO"/>
        </w:rPr>
        <w:t>artic</w:t>
      </w:r>
      <w:r w:rsidR="00401E4B" w:rsidRPr="00D4433B">
        <w:rPr>
          <w:lang w:val="ro-RO"/>
        </w:rPr>
        <w:t xml:space="preserve">olul a rămas </w:t>
      </w:r>
      <w:proofErr w:type="spellStart"/>
      <w:r w:rsidR="0024624F" w:rsidRPr="00D4433B">
        <w:rPr>
          <w:lang w:val="ro-RO"/>
        </w:rPr>
        <w:t>accessib</w:t>
      </w:r>
      <w:r w:rsidR="00401E4B" w:rsidRPr="00D4433B">
        <w:rPr>
          <w:lang w:val="ro-RO"/>
        </w:rPr>
        <w:t>il</w:t>
      </w:r>
      <w:proofErr w:type="spellEnd"/>
      <w:r w:rsidR="0024624F" w:rsidRPr="00D4433B">
        <w:rPr>
          <w:lang w:val="ro-RO"/>
        </w:rPr>
        <w:t xml:space="preserve"> </w:t>
      </w:r>
      <w:r w:rsidR="00401E4B" w:rsidRPr="00D4433B">
        <w:rPr>
          <w:lang w:val="ro-RO"/>
        </w:rPr>
        <w:t>pe website-</w:t>
      </w:r>
      <w:proofErr w:type="spellStart"/>
      <w:r w:rsidR="00401E4B" w:rsidRPr="00D4433B">
        <w:rPr>
          <w:lang w:val="ro-RO"/>
        </w:rPr>
        <w:t>ul</w:t>
      </w:r>
      <w:proofErr w:type="spellEnd"/>
      <w:r w:rsidR="00401E4B" w:rsidRPr="00D4433B">
        <w:rPr>
          <w:lang w:val="ro-RO"/>
        </w:rPr>
        <w:t xml:space="preserve"> ziarului respectiv</w:t>
      </w:r>
      <w:r w:rsidR="0024624F" w:rsidRPr="00D4433B">
        <w:rPr>
          <w:lang w:val="ro-RO"/>
        </w:rPr>
        <w:t xml:space="preserve">. </w:t>
      </w:r>
      <w:r w:rsidR="00401E4B" w:rsidRPr="00D4433B">
        <w:rPr>
          <w:lang w:val="ro-RO"/>
        </w:rPr>
        <w:t xml:space="preserve">Au susținut că </w:t>
      </w:r>
      <w:r w:rsidR="006D0621" w:rsidRPr="00D4433B">
        <w:rPr>
          <w:lang w:val="ro-RO"/>
        </w:rPr>
        <w:t>artic</w:t>
      </w:r>
      <w:r w:rsidR="00401E4B" w:rsidRPr="00D4433B">
        <w:rPr>
          <w:lang w:val="ro-RO"/>
        </w:rPr>
        <w:t xml:space="preserve">olul figura </w:t>
      </w:r>
      <w:r w:rsidR="006D0621" w:rsidRPr="00D4433B">
        <w:rPr>
          <w:lang w:val="ro-RO"/>
        </w:rPr>
        <w:t>pro</w:t>
      </w:r>
      <w:r w:rsidR="00401E4B" w:rsidRPr="00D4433B">
        <w:rPr>
          <w:lang w:val="ro-RO"/>
        </w:rPr>
        <w:t>e</w:t>
      </w:r>
      <w:r w:rsidR="006D0621" w:rsidRPr="00D4433B">
        <w:rPr>
          <w:lang w:val="ro-RO"/>
        </w:rPr>
        <w:t>minent</w:t>
      </w:r>
      <w:r w:rsidR="00401E4B" w:rsidRPr="00D4433B">
        <w:rPr>
          <w:lang w:val="ro-RO"/>
        </w:rPr>
        <w:t xml:space="preserve"> pe motorul de căutare </w:t>
      </w:r>
      <w:r w:rsidR="006D0621" w:rsidRPr="00D4433B">
        <w:rPr>
          <w:lang w:val="ro-RO"/>
        </w:rPr>
        <w:t xml:space="preserve">Google </w:t>
      </w:r>
      <w:r w:rsidR="00401E4B" w:rsidRPr="00D4433B">
        <w:rPr>
          <w:lang w:val="ro-RO"/>
        </w:rPr>
        <w:t>și că oricine căuta informații despre aceștia putea avea foarte ușor acces la acesta</w:t>
      </w:r>
      <w:r w:rsidR="006D0621" w:rsidRPr="00D4433B">
        <w:rPr>
          <w:lang w:val="ro-RO"/>
        </w:rPr>
        <w:t xml:space="preserve">. </w:t>
      </w:r>
      <w:r w:rsidR="00401E4B" w:rsidRPr="00D4433B">
        <w:rPr>
          <w:lang w:val="ro-RO"/>
        </w:rPr>
        <w:t>Valabilitatea articolului pe website-</w:t>
      </w:r>
      <w:proofErr w:type="spellStart"/>
      <w:r w:rsidR="00401E4B" w:rsidRPr="00D4433B">
        <w:rPr>
          <w:lang w:val="ro-RO"/>
        </w:rPr>
        <w:t>ul</w:t>
      </w:r>
      <w:proofErr w:type="spellEnd"/>
      <w:r w:rsidR="00401E4B" w:rsidRPr="00D4433B">
        <w:rPr>
          <w:lang w:val="ro-RO"/>
        </w:rPr>
        <w:t xml:space="preserve"> ziarului</w:t>
      </w:r>
      <w:r w:rsidR="006D0621" w:rsidRPr="00D4433B">
        <w:rPr>
          <w:lang w:val="ro-RO"/>
        </w:rPr>
        <w:t xml:space="preserve">, </w:t>
      </w:r>
      <w:r w:rsidR="00C3044E" w:rsidRPr="00D4433B">
        <w:rPr>
          <w:lang w:val="ro-RO"/>
        </w:rPr>
        <w:t>sfidând hotărârile judecătorești anterioare</w:t>
      </w:r>
      <w:r w:rsidR="006D0621" w:rsidRPr="00D4433B">
        <w:rPr>
          <w:lang w:val="ro-RO"/>
        </w:rPr>
        <w:t xml:space="preserve">, </w:t>
      </w:r>
      <w:proofErr w:type="spellStart"/>
      <w:r w:rsidR="006D0621" w:rsidRPr="00D4433B">
        <w:rPr>
          <w:lang w:val="ro-RO"/>
        </w:rPr>
        <w:t>cre</w:t>
      </w:r>
      <w:r w:rsidR="00C3044E" w:rsidRPr="00D4433B">
        <w:rPr>
          <w:lang w:val="ro-RO"/>
        </w:rPr>
        <w:t>e</w:t>
      </w:r>
      <w:r w:rsidR="006D0621" w:rsidRPr="00D4433B">
        <w:rPr>
          <w:lang w:val="ro-RO"/>
        </w:rPr>
        <w:t>a</w:t>
      </w:r>
      <w:proofErr w:type="spellEnd"/>
      <w:r w:rsidR="00C3044E" w:rsidRPr="00D4433B">
        <w:rPr>
          <w:lang w:val="ro-RO"/>
        </w:rPr>
        <w:t xml:space="preserve"> o situație </w:t>
      </w:r>
      <w:r w:rsidR="006D0621" w:rsidRPr="00D4433B">
        <w:rPr>
          <w:lang w:val="ro-RO"/>
        </w:rPr>
        <w:t>continu</w:t>
      </w:r>
      <w:r w:rsidR="00C3044E" w:rsidRPr="00D4433B">
        <w:rPr>
          <w:lang w:val="ro-RO"/>
        </w:rPr>
        <w:t xml:space="preserve">ă care permitea unui număr </w:t>
      </w:r>
      <w:r w:rsidR="006D0621" w:rsidRPr="00D4433B">
        <w:rPr>
          <w:lang w:val="ro-RO"/>
        </w:rPr>
        <w:t>larg</w:t>
      </w:r>
      <w:r w:rsidR="00C3044E" w:rsidRPr="00D4433B">
        <w:rPr>
          <w:lang w:val="ro-RO"/>
        </w:rPr>
        <w:t xml:space="preserve"> de persoane să îl citească</w:t>
      </w:r>
      <w:r w:rsidR="006D0621" w:rsidRPr="00D4433B">
        <w:rPr>
          <w:lang w:val="ro-RO"/>
        </w:rPr>
        <w:t xml:space="preserve">. </w:t>
      </w:r>
      <w:r w:rsidR="00C3044E" w:rsidRPr="00D4433B">
        <w:rPr>
          <w:lang w:val="ro-RO"/>
        </w:rPr>
        <w:t xml:space="preserve">Drepturile </w:t>
      </w:r>
      <w:r w:rsidR="003F2431" w:rsidRPr="00D4433B">
        <w:rPr>
          <w:lang w:val="ro-RO"/>
        </w:rPr>
        <w:t>reclamanț</w:t>
      </w:r>
      <w:r w:rsidR="00C3044E" w:rsidRPr="00D4433B">
        <w:rPr>
          <w:lang w:val="ro-RO"/>
        </w:rPr>
        <w:t>ilor erau astfel încălcare în același fel în care o făcuse publicarea articolului original</w:t>
      </w:r>
      <w:r w:rsidR="006D0621" w:rsidRPr="00D4433B">
        <w:rPr>
          <w:lang w:val="ro-RO"/>
        </w:rPr>
        <w:t xml:space="preserve">. </w:t>
      </w:r>
      <w:r w:rsidR="00E12968" w:rsidRPr="00D4433B">
        <w:rPr>
          <w:lang w:val="ro-RO"/>
        </w:rPr>
        <w:t xml:space="preserve">Acest lucru transforma </w:t>
      </w:r>
      <w:r w:rsidR="006D0621" w:rsidRPr="00D4433B">
        <w:rPr>
          <w:lang w:val="ro-RO"/>
        </w:rPr>
        <w:t>protec</w:t>
      </w:r>
      <w:r w:rsidR="00E12968" w:rsidRPr="00D4433B">
        <w:rPr>
          <w:lang w:val="ro-RO"/>
        </w:rPr>
        <w:t xml:space="preserve">ția acordată prin hotărârile judecătorești pronunțate în favoarea lor în </w:t>
      </w:r>
      <w:r w:rsidR="006D0621" w:rsidRPr="00D4433B">
        <w:rPr>
          <w:lang w:val="ro-RO"/>
        </w:rPr>
        <w:t>inef</w:t>
      </w:r>
      <w:r w:rsidR="00E12968" w:rsidRPr="00D4433B">
        <w:rPr>
          <w:lang w:val="ro-RO"/>
        </w:rPr>
        <w:t>ici</w:t>
      </w:r>
      <w:r w:rsidR="006D0621" w:rsidRPr="00D4433B">
        <w:rPr>
          <w:lang w:val="ro-RO"/>
        </w:rPr>
        <w:t>e</w:t>
      </w:r>
      <w:r w:rsidR="00E12968" w:rsidRPr="00D4433B">
        <w:rPr>
          <w:lang w:val="ro-RO"/>
        </w:rPr>
        <w:t>ntă</w:t>
      </w:r>
      <w:r w:rsidR="006D0621" w:rsidRPr="00D4433B">
        <w:rPr>
          <w:lang w:val="ro-RO"/>
        </w:rPr>
        <w:t xml:space="preserve"> </w:t>
      </w:r>
      <w:r w:rsidR="00E12968" w:rsidRPr="00D4433B">
        <w:rPr>
          <w:lang w:val="ro-RO"/>
        </w:rPr>
        <w:t xml:space="preserve">și </w:t>
      </w:r>
      <w:r w:rsidR="006D0621" w:rsidRPr="00D4433B">
        <w:rPr>
          <w:lang w:val="ro-RO"/>
        </w:rPr>
        <w:t>ilu</w:t>
      </w:r>
      <w:r w:rsidR="00E12968" w:rsidRPr="00D4433B">
        <w:rPr>
          <w:lang w:val="ro-RO"/>
        </w:rPr>
        <w:t>z</w:t>
      </w:r>
      <w:r w:rsidR="006D0621" w:rsidRPr="00D4433B">
        <w:rPr>
          <w:lang w:val="ro-RO"/>
        </w:rPr>
        <w:t>or</w:t>
      </w:r>
      <w:r w:rsidR="00E12968" w:rsidRPr="00D4433B">
        <w:rPr>
          <w:lang w:val="ro-RO"/>
        </w:rPr>
        <w:t>ie</w:t>
      </w:r>
      <w:r w:rsidR="006D0621" w:rsidRPr="00D4433B">
        <w:rPr>
          <w:lang w:val="ro-RO"/>
        </w:rPr>
        <w:t>.</w:t>
      </w:r>
    </w:p>
    <w:p w14:paraId="251BE815" w14:textId="5B4D4B55" w:rsidR="0090070F" w:rsidRPr="00D4433B" w:rsidRDefault="003F2431" w:rsidP="0024624F">
      <w:pPr>
        <w:pStyle w:val="JuPara"/>
        <w:rPr>
          <w:lang w:val="ro-RO"/>
        </w:rPr>
      </w:pPr>
      <w:r w:rsidRPr="00D4433B">
        <w:rPr>
          <w:lang w:val="ro-RO"/>
        </w:rPr>
        <w:t>Reclamanț</w:t>
      </w:r>
      <w:r w:rsidR="00E12968" w:rsidRPr="00D4433B">
        <w:rPr>
          <w:lang w:val="ro-RO"/>
        </w:rPr>
        <w:t xml:space="preserve">ii </w:t>
      </w:r>
      <w:r w:rsidR="00086927" w:rsidRPr="00D4433B">
        <w:rPr>
          <w:lang w:val="ro-RO"/>
        </w:rPr>
        <w:t xml:space="preserve">au solicitat un </w:t>
      </w:r>
      <w:r w:rsidR="006D0621" w:rsidRPr="00D4433B">
        <w:rPr>
          <w:lang w:val="ro-RO"/>
        </w:rPr>
        <w:t>ord</w:t>
      </w:r>
      <w:r w:rsidR="00086927" w:rsidRPr="00D4433B">
        <w:rPr>
          <w:lang w:val="ro-RO"/>
        </w:rPr>
        <w:t xml:space="preserve">in prin care să solicite pârâților </w:t>
      </w:r>
      <w:r w:rsidR="00615726" w:rsidRPr="00D4433B">
        <w:rPr>
          <w:lang w:val="ro-RO"/>
        </w:rPr>
        <w:t xml:space="preserve">să șteargă </w:t>
      </w:r>
      <w:r w:rsidR="006D0621" w:rsidRPr="00D4433B">
        <w:rPr>
          <w:lang w:val="ro-RO"/>
        </w:rPr>
        <w:t>artic</w:t>
      </w:r>
      <w:r w:rsidR="00615726" w:rsidRPr="00D4433B">
        <w:rPr>
          <w:lang w:val="ro-RO"/>
        </w:rPr>
        <w:t>olul de pe website-</w:t>
      </w:r>
      <w:proofErr w:type="spellStart"/>
      <w:r w:rsidR="00615726" w:rsidRPr="00D4433B">
        <w:rPr>
          <w:lang w:val="ro-RO"/>
        </w:rPr>
        <w:t>ul</w:t>
      </w:r>
      <w:proofErr w:type="spellEnd"/>
      <w:r w:rsidR="00615726" w:rsidRPr="00D4433B">
        <w:rPr>
          <w:lang w:val="ro-RO"/>
        </w:rPr>
        <w:t xml:space="preserve"> ziarului și să </w:t>
      </w:r>
      <w:r w:rsidR="006D0621" w:rsidRPr="00D4433B">
        <w:rPr>
          <w:lang w:val="ro-RO"/>
        </w:rPr>
        <w:t>publi</w:t>
      </w:r>
      <w:r w:rsidR="00615726" w:rsidRPr="00D4433B">
        <w:rPr>
          <w:lang w:val="ro-RO"/>
        </w:rPr>
        <w:t>ce</w:t>
      </w:r>
      <w:r w:rsidR="006D0621" w:rsidRPr="00D4433B">
        <w:rPr>
          <w:lang w:val="ro-RO"/>
        </w:rPr>
        <w:t xml:space="preserve"> </w:t>
      </w:r>
      <w:r w:rsidR="00615726" w:rsidRPr="00D4433B">
        <w:rPr>
          <w:lang w:val="ro-RO"/>
        </w:rPr>
        <w:t xml:space="preserve">scuze scrise </w:t>
      </w:r>
      <w:r w:rsidR="000C76D9" w:rsidRPr="00D4433B">
        <w:rPr>
          <w:lang w:val="ro-RO"/>
        </w:rPr>
        <w:t xml:space="preserve">pentru că le-au fost încălcate drepturile ca urmare a prezenței continue a articolului pe </w:t>
      </w:r>
      <w:r w:rsidR="006D0621" w:rsidRPr="00D4433B">
        <w:rPr>
          <w:lang w:val="ro-RO"/>
        </w:rPr>
        <w:t>Internet.</w:t>
      </w:r>
      <w:r w:rsidR="0090070F" w:rsidRPr="00D4433B">
        <w:rPr>
          <w:lang w:val="ro-RO"/>
        </w:rPr>
        <w:t xml:space="preserve"> </w:t>
      </w:r>
      <w:r w:rsidR="000C76D9" w:rsidRPr="00D4433B">
        <w:rPr>
          <w:lang w:val="ro-RO"/>
        </w:rPr>
        <w:t xml:space="preserve">Aceștia au solicitat despăgubiri în sumă de </w:t>
      </w:r>
      <w:r w:rsidR="005E3530" w:rsidRPr="00D4433B">
        <w:rPr>
          <w:lang w:val="ro-RO"/>
        </w:rPr>
        <w:t>11</w:t>
      </w:r>
      <w:r w:rsidR="000C76D9" w:rsidRPr="00D4433B">
        <w:rPr>
          <w:lang w:val="ro-RO"/>
        </w:rPr>
        <w:t>.</w:t>
      </w:r>
      <w:r w:rsidR="005E3530" w:rsidRPr="00D4433B">
        <w:rPr>
          <w:lang w:val="ro-RO"/>
        </w:rPr>
        <w:t>000</w:t>
      </w:r>
      <w:r w:rsidR="009B760A" w:rsidRPr="00D4433B">
        <w:rPr>
          <w:lang w:val="ro-RO"/>
        </w:rPr>
        <w:t xml:space="preserve"> </w:t>
      </w:r>
      <w:proofErr w:type="spellStart"/>
      <w:r w:rsidR="000C76D9" w:rsidRPr="00D4433B">
        <w:rPr>
          <w:lang w:val="ro-RO"/>
        </w:rPr>
        <w:t>PLN</w:t>
      </w:r>
      <w:proofErr w:type="spellEnd"/>
      <w:r w:rsidR="000C76D9" w:rsidRPr="00D4433B">
        <w:rPr>
          <w:lang w:val="ro-RO"/>
        </w:rPr>
        <w:t>  pentru daune nepecuniare.</w:t>
      </w:r>
    </w:p>
    <w:p w14:paraId="3AA34466" w14:textId="6ED69A7F"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10</w:t>
      </w:r>
      <w:r w:rsidRPr="00D4433B">
        <w:rPr>
          <w:lang w:val="ro-RO"/>
        </w:rPr>
        <w:fldChar w:fldCharType="end"/>
      </w:r>
      <w:r w:rsidRPr="00D4433B">
        <w:rPr>
          <w:lang w:val="ro-RO"/>
        </w:rPr>
        <w:t>.  </w:t>
      </w:r>
      <w:r w:rsidR="000C76D9" w:rsidRPr="00D4433B">
        <w:rPr>
          <w:lang w:val="ro-RO"/>
        </w:rPr>
        <w:t>Prin cererea reconvențională</w:t>
      </w:r>
      <w:r w:rsidRPr="00D4433B">
        <w:rPr>
          <w:lang w:val="ro-RO"/>
        </w:rPr>
        <w:t xml:space="preserve">, </w:t>
      </w:r>
      <w:r w:rsidR="000C76D9" w:rsidRPr="00D4433B">
        <w:rPr>
          <w:lang w:val="ro-RO"/>
        </w:rPr>
        <w:t xml:space="preserve">pârâții au pretins că este vorba despre un caz </w:t>
      </w:r>
      <w:r w:rsidR="00593F44" w:rsidRPr="00D4433B">
        <w:rPr>
          <w:lang w:val="ro-RO"/>
        </w:rPr>
        <w:t xml:space="preserve">în care se aplică principiul </w:t>
      </w:r>
      <w:proofErr w:type="spellStart"/>
      <w:r w:rsidRPr="00D4433B">
        <w:rPr>
          <w:i/>
          <w:lang w:val="ro-RO"/>
        </w:rPr>
        <w:t>res</w:t>
      </w:r>
      <w:proofErr w:type="spellEnd"/>
      <w:r w:rsidRPr="00D4433B">
        <w:rPr>
          <w:i/>
          <w:lang w:val="ro-RO"/>
        </w:rPr>
        <w:t xml:space="preserve"> </w:t>
      </w:r>
      <w:proofErr w:type="spellStart"/>
      <w:r w:rsidRPr="00D4433B">
        <w:rPr>
          <w:i/>
          <w:lang w:val="ro-RO"/>
        </w:rPr>
        <w:t>judicata</w:t>
      </w:r>
      <w:proofErr w:type="spellEnd"/>
      <w:r w:rsidR="00593F44" w:rsidRPr="00D4433B">
        <w:rPr>
          <w:lang w:val="ro-RO"/>
        </w:rPr>
        <w:t xml:space="preserve">. </w:t>
      </w:r>
      <w:r w:rsidR="003F2431" w:rsidRPr="00D4433B">
        <w:rPr>
          <w:lang w:val="ro-RO"/>
        </w:rPr>
        <w:t>Reclamanț</w:t>
      </w:r>
      <w:r w:rsidR="00593F44" w:rsidRPr="00D4433B">
        <w:rPr>
          <w:lang w:val="ro-RO"/>
        </w:rPr>
        <w:t xml:space="preserve">ii au </w:t>
      </w:r>
      <w:r w:rsidRPr="00D4433B">
        <w:rPr>
          <w:lang w:val="ro-RO"/>
        </w:rPr>
        <w:t>ob</w:t>
      </w:r>
      <w:r w:rsidR="00593F44" w:rsidRPr="00D4433B">
        <w:rPr>
          <w:lang w:val="ro-RO"/>
        </w:rPr>
        <w:t>ținut deja o hotărâre judecătorească în favoarea lor</w:t>
      </w:r>
      <w:r w:rsidRPr="00D4433B">
        <w:rPr>
          <w:lang w:val="ro-RO"/>
        </w:rPr>
        <w:t>. M</w:t>
      </w:r>
      <w:r w:rsidR="00593F44" w:rsidRPr="00D4433B">
        <w:rPr>
          <w:lang w:val="ro-RO"/>
        </w:rPr>
        <w:t>ai mult</w:t>
      </w:r>
      <w:r w:rsidRPr="00D4433B">
        <w:rPr>
          <w:lang w:val="ro-RO"/>
        </w:rPr>
        <w:t>, artic</w:t>
      </w:r>
      <w:r w:rsidR="00593F44" w:rsidRPr="00D4433B">
        <w:rPr>
          <w:lang w:val="ro-RO"/>
        </w:rPr>
        <w:t>olul</w:t>
      </w:r>
      <w:r w:rsidRPr="00D4433B">
        <w:rPr>
          <w:lang w:val="ro-RO"/>
        </w:rPr>
        <w:t xml:space="preserve"> </w:t>
      </w:r>
      <w:r w:rsidR="00593F44" w:rsidRPr="00D4433B">
        <w:rPr>
          <w:lang w:val="ro-RO"/>
        </w:rPr>
        <w:t xml:space="preserve">a fost plasat în </w:t>
      </w:r>
      <w:r w:rsidRPr="00D4433B">
        <w:rPr>
          <w:lang w:val="ro-RO"/>
        </w:rPr>
        <w:t>arhiv</w:t>
      </w:r>
      <w:r w:rsidR="00593F44" w:rsidRPr="00D4433B">
        <w:rPr>
          <w:lang w:val="ro-RO"/>
        </w:rPr>
        <w:t>a</w:t>
      </w:r>
      <w:r w:rsidRPr="00D4433B">
        <w:rPr>
          <w:lang w:val="ro-RO"/>
        </w:rPr>
        <w:t xml:space="preserve"> website</w:t>
      </w:r>
      <w:r w:rsidR="00593F44" w:rsidRPr="00D4433B">
        <w:rPr>
          <w:lang w:val="ro-RO"/>
        </w:rPr>
        <w:t>-ului</w:t>
      </w:r>
      <w:r w:rsidRPr="00D4433B">
        <w:rPr>
          <w:lang w:val="ro-RO"/>
        </w:rPr>
        <w:t xml:space="preserve">. </w:t>
      </w:r>
      <w:r w:rsidR="00593F44" w:rsidRPr="00D4433B">
        <w:rPr>
          <w:lang w:val="ro-RO"/>
        </w:rPr>
        <w:t xml:space="preserve">Cititorii pot astfel să înțeleagă faptul că </w:t>
      </w:r>
      <w:r w:rsidRPr="00D4433B">
        <w:rPr>
          <w:lang w:val="ro-RO"/>
        </w:rPr>
        <w:t>artic</w:t>
      </w:r>
      <w:r w:rsidR="00593F44" w:rsidRPr="00D4433B">
        <w:rPr>
          <w:lang w:val="ro-RO"/>
        </w:rPr>
        <w:t>olul a fost publicat în trecut</w:t>
      </w:r>
      <w:r w:rsidRPr="00D4433B">
        <w:rPr>
          <w:lang w:val="ro-RO"/>
        </w:rPr>
        <w:t>.</w:t>
      </w:r>
      <w:r w:rsidR="0090070F" w:rsidRPr="00D4433B">
        <w:rPr>
          <w:lang w:val="ro-RO"/>
        </w:rPr>
        <w:t xml:space="preserve"> </w:t>
      </w:r>
      <w:r w:rsidR="00593F44" w:rsidRPr="00D4433B">
        <w:rPr>
          <w:lang w:val="ro-RO"/>
        </w:rPr>
        <w:t xml:space="preserve">Articolul a fost publicat și </w:t>
      </w:r>
      <w:r w:rsidR="00090D4D" w:rsidRPr="00D4433B">
        <w:rPr>
          <w:lang w:val="ro-RO"/>
        </w:rPr>
        <w:t xml:space="preserve">nu poate fi sub nicio formă șters </w:t>
      </w:r>
      <w:r w:rsidR="00090D4D" w:rsidRPr="00D4433B">
        <w:rPr>
          <w:lang w:val="ro-RO"/>
        </w:rPr>
        <w:lastRenderedPageBreak/>
        <w:t>din istoric sau</w:t>
      </w:r>
      <w:r w:rsidRPr="00D4433B">
        <w:rPr>
          <w:lang w:val="ro-RO"/>
        </w:rPr>
        <w:t xml:space="preserve">, </w:t>
      </w:r>
      <w:r w:rsidR="00090D4D" w:rsidRPr="00D4433B">
        <w:rPr>
          <w:lang w:val="ro-RO"/>
        </w:rPr>
        <w:t>cel puțin</w:t>
      </w:r>
      <w:r w:rsidRPr="00D4433B">
        <w:rPr>
          <w:lang w:val="ro-RO"/>
        </w:rPr>
        <w:t xml:space="preserve">, </w:t>
      </w:r>
      <w:r w:rsidR="00090D4D" w:rsidRPr="00D4433B">
        <w:rPr>
          <w:lang w:val="ro-RO"/>
        </w:rPr>
        <w:t xml:space="preserve">din exemplarele de </w:t>
      </w:r>
      <w:r w:rsidRPr="00D4433B">
        <w:rPr>
          <w:lang w:val="ro-RO"/>
        </w:rPr>
        <w:t>“</w:t>
      </w:r>
      <w:proofErr w:type="spellStart"/>
      <w:r w:rsidRPr="00D4433B">
        <w:rPr>
          <w:i/>
          <w:lang w:val="ro-RO"/>
        </w:rPr>
        <w:t>Rzeczpospolita</w:t>
      </w:r>
      <w:proofErr w:type="spellEnd"/>
      <w:r w:rsidRPr="00D4433B">
        <w:rPr>
          <w:lang w:val="ro-RO"/>
        </w:rPr>
        <w:t>”</w:t>
      </w:r>
      <w:r w:rsidR="0090070F" w:rsidRPr="00D4433B">
        <w:rPr>
          <w:lang w:val="ro-RO"/>
        </w:rPr>
        <w:t xml:space="preserve"> </w:t>
      </w:r>
      <w:r w:rsidR="00090D4D" w:rsidRPr="00D4433B">
        <w:rPr>
          <w:lang w:val="ro-RO"/>
        </w:rPr>
        <w:t>păstrate î</w:t>
      </w:r>
      <w:r w:rsidRPr="00D4433B">
        <w:rPr>
          <w:lang w:val="ro-RO"/>
        </w:rPr>
        <w:t>n numero</w:t>
      </w:r>
      <w:r w:rsidR="00090D4D" w:rsidRPr="00D4433B">
        <w:rPr>
          <w:lang w:val="ro-RO"/>
        </w:rPr>
        <w:t xml:space="preserve">asele biblioteci și </w:t>
      </w:r>
      <w:r w:rsidRPr="00D4433B">
        <w:rPr>
          <w:lang w:val="ro-RO"/>
        </w:rPr>
        <w:t xml:space="preserve">arhive </w:t>
      </w:r>
      <w:r w:rsidR="00090D4D" w:rsidRPr="00D4433B">
        <w:rPr>
          <w:lang w:val="ro-RO"/>
        </w:rPr>
        <w:t>din țară</w:t>
      </w:r>
      <w:r w:rsidRPr="00D4433B">
        <w:rPr>
          <w:lang w:val="ro-RO"/>
        </w:rPr>
        <w:t xml:space="preserve">. </w:t>
      </w:r>
      <w:r w:rsidR="00090D4D" w:rsidRPr="00D4433B">
        <w:rPr>
          <w:lang w:val="ro-RO"/>
        </w:rPr>
        <w:t xml:space="preserve">Cererea </w:t>
      </w:r>
      <w:r w:rsidR="003F2431" w:rsidRPr="00D4433B">
        <w:rPr>
          <w:lang w:val="ro-RO"/>
        </w:rPr>
        <w:t>reclamanț</w:t>
      </w:r>
      <w:r w:rsidR="00090D4D" w:rsidRPr="00D4433B">
        <w:rPr>
          <w:lang w:val="ro-RO"/>
        </w:rPr>
        <w:t>ilor de a-l șterge a fost deci formulată cu rea-credință</w:t>
      </w:r>
      <w:r w:rsidRPr="00D4433B">
        <w:rPr>
          <w:lang w:val="ro-RO"/>
        </w:rPr>
        <w:t xml:space="preserve">, </w:t>
      </w:r>
      <w:r w:rsidR="00090D4D" w:rsidRPr="00D4433B">
        <w:rPr>
          <w:lang w:val="ro-RO"/>
        </w:rPr>
        <w:t xml:space="preserve">nu doar pentru că a fost lipsită de temei juridic dar și pentru că a fost </w:t>
      </w:r>
      <w:r w:rsidRPr="00D4433B">
        <w:rPr>
          <w:lang w:val="ro-RO"/>
        </w:rPr>
        <w:t>absurd</w:t>
      </w:r>
      <w:r w:rsidR="00090D4D" w:rsidRPr="00D4433B">
        <w:rPr>
          <w:lang w:val="ro-RO"/>
        </w:rPr>
        <w:t>ă</w:t>
      </w:r>
      <w:r w:rsidRPr="00D4433B">
        <w:rPr>
          <w:lang w:val="ro-RO"/>
        </w:rPr>
        <w:t>.</w:t>
      </w:r>
    </w:p>
    <w:p w14:paraId="2483BD92" w14:textId="10E766E8" w:rsidR="0090070F" w:rsidRPr="00D4433B" w:rsidRDefault="00090D4D" w:rsidP="00090D4D">
      <w:pPr>
        <w:pStyle w:val="JuPara"/>
        <w:rPr>
          <w:lang w:val="ro-RO"/>
        </w:rPr>
      </w:pPr>
      <w:r w:rsidRPr="00D4433B">
        <w:rPr>
          <w:lang w:val="ro-RO"/>
        </w:rPr>
        <w:t xml:space="preserve">Pârâții au mai arătat și că </w:t>
      </w:r>
      <w:r w:rsidR="003F2431" w:rsidRPr="00D4433B">
        <w:rPr>
          <w:lang w:val="ro-RO"/>
        </w:rPr>
        <w:t>reclamanț</w:t>
      </w:r>
      <w:r w:rsidRPr="00D4433B">
        <w:rPr>
          <w:lang w:val="ro-RO"/>
        </w:rPr>
        <w:t xml:space="preserve">ii au făcut trimitere în prima cerere judiciară la publicarea articolului pe </w:t>
      </w:r>
      <w:r w:rsidR="006D0621" w:rsidRPr="00D4433B">
        <w:rPr>
          <w:lang w:val="ro-RO"/>
        </w:rPr>
        <w:t>websit</w:t>
      </w:r>
      <w:r w:rsidRPr="00D4433B">
        <w:rPr>
          <w:lang w:val="ro-RO"/>
        </w:rPr>
        <w:t>e-</w:t>
      </w:r>
      <w:proofErr w:type="spellStart"/>
      <w:r w:rsidRPr="00D4433B">
        <w:rPr>
          <w:lang w:val="ro-RO"/>
        </w:rPr>
        <w:t>ul</w:t>
      </w:r>
      <w:proofErr w:type="spellEnd"/>
      <w:r w:rsidRPr="00D4433B">
        <w:rPr>
          <w:lang w:val="ro-RO"/>
        </w:rPr>
        <w:t xml:space="preserve"> ziarului</w:t>
      </w:r>
      <w:r w:rsidR="006D0621" w:rsidRPr="00D4433B">
        <w:rPr>
          <w:lang w:val="ro-RO"/>
        </w:rPr>
        <w:t xml:space="preserve">. </w:t>
      </w:r>
      <w:r w:rsidR="0041099E" w:rsidRPr="00D4433B">
        <w:rPr>
          <w:lang w:val="ro-RO"/>
        </w:rPr>
        <w:t xml:space="preserve">Astfel, aveau deja cunoștință despre faptul că </w:t>
      </w:r>
      <w:r w:rsidR="006D0621" w:rsidRPr="00D4433B">
        <w:rPr>
          <w:lang w:val="ro-RO"/>
        </w:rPr>
        <w:t>artic</w:t>
      </w:r>
      <w:r w:rsidR="0041099E" w:rsidRPr="00D4433B">
        <w:rPr>
          <w:lang w:val="ro-RO"/>
        </w:rPr>
        <w:t>olul a fost diseminat în acest mod</w:t>
      </w:r>
      <w:r w:rsidR="006D0621" w:rsidRPr="00D4433B">
        <w:rPr>
          <w:lang w:val="ro-RO"/>
        </w:rPr>
        <w:t xml:space="preserve">. </w:t>
      </w:r>
      <w:r w:rsidR="0041099E" w:rsidRPr="00D4433B">
        <w:rPr>
          <w:lang w:val="ro-RO"/>
        </w:rPr>
        <w:t xml:space="preserve">Dat fiind că nu au făcut niciun fel de cereri </w:t>
      </w:r>
      <w:r w:rsidR="006D0621" w:rsidRPr="00D4433B">
        <w:rPr>
          <w:lang w:val="ro-RO"/>
        </w:rPr>
        <w:t>specific</w:t>
      </w:r>
      <w:r w:rsidR="0041099E" w:rsidRPr="00D4433B">
        <w:rPr>
          <w:lang w:val="ro-RO"/>
        </w:rPr>
        <w:t>e</w:t>
      </w:r>
      <w:r w:rsidR="006D0621" w:rsidRPr="00D4433B">
        <w:rPr>
          <w:lang w:val="ro-RO"/>
        </w:rPr>
        <w:t xml:space="preserve"> </w:t>
      </w:r>
      <w:r w:rsidR="0041099E" w:rsidRPr="00D4433B">
        <w:rPr>
          <w:lang w:val="ro-RO"/>
        </w:rPr>
        <w:t xml:space="preserve">cu privire la publicarea pe </w:t>
      </w:r>
      <w:r w:rsidR="006D0621" w:rsidRPr="00D4433B">
        <w:rPr>
          <w:lang w:val="ro-RO"/>
        </w:rPr>
        <w:t xml:space="preserve">Internet </w:t>
      </w:r>
      <w:r w:rsidR="0041099E" w:rsidRPr="00D4433B">
        <w:rPr>
          <w:lang w:val="ro-RO"/>
        </w:rPr>
        <w:t xml:space="preserve">[a articolului] în primul </w:t>
      </w:r>
      <w:r w:rsidR="006D0621" w:rsidRPr="00D4433B">
        <w:rPr>
          <w:lang w:val="ro-RO"/>
        </w:rPr>
        <w:t xml:space="preserve">set </w:t>
      </w:r>
      <w:r w:rsidR="0041099E" w:rsidRPr="00D4433B">
        <w:rPr>
          <w:lang w:val="ro-RO"/>
        </w:rPr>
        <w:t xml:space="preserve">de </w:t>
      </w:r>
      <w:r w:rsidR="006D0621" w:rsidRPr="00D4433B">
        <w:rPr>
          <w:lang w:val="ro-RO"/>
        </w:rPr>
        <w:t>proced</w:t>
      </w:r>
      <w:r w:rsidR="0041099E" w:rsidRPr="00D4433B">
        <w:rPr>
          <w:lang w:val="ro-RO"/>
        </w:rPr>
        <w:t>uri</w:t>
      </w:r>
      <w:r w:rsidR="006D0621" w:rsidRPr="00D4433B">
        <w:rPr>
          <w:lang w:val="ro-RO"/>
        </w:rPr>
        <w:t xml:space="preserve">, </w:t>
      </w:r>
      <w:r w:rsidR="006851AF" w:rsidRPr="00D4433B">
        <w:rPr>
          <w:lang w:val="ro-RO"/>
        </w:rPr>
        <w:t xml:space="preserve">trebuie să se deducem </w:t>
      </w:r>
      <w:r w:rsidR="005D0DAA" w:rsidRPr="00D4433B">
        <w:rPr>
          <w:lang w:val="ro-RO"/>
        </w:rPr>
        <w:t xml:space="preserve">că nu au căutat să obțină niciun fel de măsuri privind versiunea online a </w:t>
      </w:r>
      <w:r w:rsidR="006D0621" w:rsidRPr="00D4433B">
        <w:rPr>
          <w:lang w:val="ro-RO"/>
        </w:rPr>
        <w:t>artic</w:t>
      </w:r>
      <w:r w:rsidR="005D0DAA" w:rsidRPr="00D4433B">
        <w:rPr>
          <w:lang w:val="ro-RO"/>
        </w:rPr>
        <w:t xml:space="preserve">olului și că au fost deplin satisfăcuți de </w:t>
      </w:r>
      <w:r w:rsidR="006D0621" w:rsidRPr="00D4433B">
        <w:rPr>
          <w:lang w:val="ro-RO"/>
        </w:rPr>
        <w:t>situa</w:t>
      </w:r>
      <w:r w:rsidR="005D0DAA" w:rsidRPr="00D4433B">
        <w:rPr>
          <w:lang w:val="ro-RO"/>
        </w:rPr>
        <w:t>ția obținută în urma remedierii prin hotărârea judecătorească pronunțată în primă instanță</w:t>
      </w:r>
      <w:r w:rsidR="006D0621" w:rsidRPr="00D4433B">
        <w:rPr>
          <w:lang w:val="ro-RO"/>
        </w:rPr>
        <w:t>.</w:t>
      </w:r>
    </w:p>
    <w:p w14:paraId="6D0C4C93" w14:textId="354ACF4E"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11</w:t>
      </w:r>
      <w:r w:rsidRPr="00D4433B">
        <w:rPr>
          <w:lang w:val="ro-RO"/>
        </w:rPr>
        <w:fldChar w:fldCharType="end"/>
      </w:r>
      <w:r w:rsidRPr="00D4433B">
        <w:rPr>
          <w:lang w:val="ro-RO"/>
        </w:rPr>
        <w:t>.  </w:t>
      </w:r>
      <w:r w:rsidR="005D0DAA" w:rsidRPr="00D4433B">
        <w:rPr>
          <w:lang w:val="ro-RO"/>
        </w:rPr>
        <w:t>Tribunalul din Varșovia</w:t>
      </w:r>
      <w:r w:rsidRPr="00D4433B">
        <w:rPr>
          <w:lang w:val="ro-RO"/>
        </w:rPr>
        <w:t xml:space="preserve">, </w:t>
      </w:r>
      <w:r w:rsidR="005D0DAA" w:rsidRPr="00D4433B">
        <w:rPr>
          <w:lang w:val="ro-RO"/>
        </w:rPr>
        <w:t xml:space="preserve">prin hotărârea pronunțată în </w:t>
      </w:r>
      <w:r w:rsidRPr="00D4433B">
        <w:rPr>
          <w:lang w:val="ro-RO"/>
        </w:rPr>
        <w:t xml:space="preserve">28 </w:t>
      </w:r>
      <w:r w:rsidR="005D0DAA" w:rsidRPr="00D4433B">
        <w:rPr>
          <w:lang w:val="ro-RO"/>
        </w:rPr>
        <w:t>s</w:t>
      </w:r>
      <w:r w:rsidRPr="00D4433B">
        <w:rPr>
          <w:lang w:val="ro-RO"/>
        </w:rPr>
        <w:t>eptembr</w:t>
      </w:r>
      <w:r w:rsidR="005D0DAA" w:rsidRPr="00D4433B">
        <w:rPr>
          <w:lang w:val="ro-RO"/>
        </w:rPr>
        <w:t>ie</w:t>
      </w:r>
      <w:r w:rsidRPr="00D4433B">
        <w:rPr>
          <w:lang w:val="ro-RO"/>
        </w:rPr>
        <w:t xml:space="preserve"> 2005, </w:t>
      </w:r>
      <w:r w:rsidR="005D0DAA" w:rsidRPr="00D4433B">
        <w:rPr>
          <w:lang w:val="ro-RO"/>
        </w:rPr>
        <w:t xml:space="preserve">a respins cererea </w:t>
      </w:r>
      <w:r w:rsidR="003F2431" w:rsidRPr="00D4433B">
        <w:rPr>
          <w:lang w:val="ro-RO"/>
        </w:rPr>
        <w:t>reclamanț</w:t>
      </w:r>
      <w:r w:rsidR="005D0DAA" w:rsidRPr="00D4433B">
        <w:rPr>
          <w:lang w:val="ro-RO"/>
        </w:rPr>
        <w:t>ilor</w:t>
      </w:r>
      <w:r w:rsidRPr="00D4433B">
        <w:rPr>
          <w:lang w:val="ro-RO"/>
        </w:rPr>
        <w:t xml:space="preserve">. </w:t>
      </w:r>
      <w:r w:rsidR="005D0DAA" w:rsidRPr="00D4433B">
        <w:rPr>
          <w:lang w:val="ro-RO"/>
        </w:rPr>
        <w:t xml:space="preserve">Prima dată a făcut </w:t>
      </w:r>
      <w:r w:rsidR="009B760A" w:rsidRPr="00D4433B">
        <w:rPr>
          <w:lang w:val="ro-RO"/>
        </w:rPr>
        <w:t>refer</w:t>
      </w:r>
      <w:r w:rsidR="005D0DAA" w:rsidRPr="00D4433B">
        <w:rPr>
          <w:lang w:val="ro-RO"/>
        </w:rPr>
        <w:t xml:space="preserve">ire </w:t>
      </w:r>
      <w:r w:rsidR="00440841" w:rsidRPr="00D4433B">
        <w:rPr>
          <w:lang w:val="ro-RO"/>
        </w:rPr>
        <w:t xml:space="preserve">la hotărârile din </w:t>
      </w:r>
      <w:r w:rsidR="009B760A" w:rsidRPr="00D4433B">
        <w:rPr>
          <w:lang w:val="ro-RO"/>
        </w:rPr>
        <w:t>8 </w:t>
      </w:r>
      <w:r w:rsidR="00440841" w:rsidRPr="00D4433B">
        <w:rPr>
          <w:lang w:val="ro-RO"/>
        </w:rPr>
        <w:t>m</w:t>
      </w:r>
      <w:r w:rsidRPr="00D4433B">
        <w:rPr>
          <w:lang w:val="ro-RO"/>
        </w:rPr>
        <w:t>a</w:t>
      </w:r>
      <w:r w:rsidR="00440841" w:rsidRPr="00D4433B">
        <w:rPr>
          <w:lang w:val="ro-RO"/>
        </w:rPr>
        <w:t>i</w:t>
      </w:r>
      <w:r w:rsidRPr="00D4433B">
        <w:rPr>
          <w:lang w:val="ro-RO"/>
        </w:rPr>
        <w:t xml:space="preserve"> 2002 </w:t>
      </w:r>
      <w:r w:rsidR="00440841" w:rsidRPr="00D4433B">
        <w:rPr>
          <w:lang w:val="ro-RO"/>
        </w:rPr>
        <w:t xml:space="preserve">și </w:t>
      </w:r>
      <w:r w:rsidRPr="00D4433B">
        <w:rPr>
          <w:lang w:val="ro-RO"/>
        </w:rPr>
        <w:t xml:space="preserve">24 </w:t>
      </w:r>
      <w:r w:rsidR="00440841" w:rsidRPr="00D4433B">
        <w:rPr>
          <w:lang w:val="ro-RO"/>
        </w:rPr>
        <w:t>a</w:t>
      </w:r>
      <w:r w:rsidRPr="00D4433B">
        <w:rPr>
          <w:lang w:val="ro-RO"/>
        </w:rPr>
        <w:t>pril</w:t>
      </w:r>
      <w:r w:rsidR="00440841" w:rsidRPr="00D4433B">
        <w:rPr>
          <w:lang w:val="ro-RO"/>
        </w:rPr>
        <w:t>ie</w:t>
      </w:r>
      <w:r w:rsidRPr="00D4433B">
        <w:rPr>
          <w:lang w:val="ro-RO"/>
        </w:rPr>
        <w:t xml:space="preserve"> 2003. </w:t>
      </w:r>
      <w:r w:rsidR="00440841" w:rsidRPr="00D4433B">
        <w:rPr>
          <w:lang w:val="ro-RO"/>
        </w:rPr>
        <w:t xml:space="preserve">Reținea cererea formulată de </w:t>
      </w:r>
      <w:r w:rsidR="003F2431" w:rsidRPr="00D4433B">
        <w:rPr>
          <w:lang w:val="ro-RO"/>
        </w:rPr>
        <w:t>reclamanț</w:t>
      </w:r>
      <w:r w:rsidR="00440841" w:rsidRPr="00D4433B">
        <w:rPr>
          <w:lang w:val="ro-RO"/>
        </w:rPr>
        <w:t>i conform căreia aceștia descoperiseră</w:t>
      </w:r>
      <w:r w:rsidRPr="00D4433B">
        <w:rPr>
          <w:lang w:val="ro-RO"/>
        </w:rPr>
        <w:t xml:space="preserve">, </w:t>
      </w:r>
      <w:r w:rsidR="00440841" w:rsidRPr="00D4433B">
        <w:rPr>
          <w:lang w:val="ro-RO"/>
        </w:rPr>
        <w:t xml:space="preserve">la un an de la hotărârea pronunțată anterior menționată, că </w:t>
      </w:r>
      <w:r w:rsidRPr="00D4433B">
        <w:rPr>
          <w:lang w:val="ro-RO"/>
        </w:rPr>
        <w:t>artic</w:t>
      </w:r>
      <w:r w:rsidR="00440841" w:rsidRPr="00D4433B">
        <w:rPr>
          <w:lang w:val="ro-RO"/>
        </w:rPr>
        <w:t xml:space="preserve">olul era încă disponibil pe </w:t>
      </w:r>
      <w:r w:rsidRPr="00D4433B">
        <w:rPr>
          <w:lang w:val="ro-RO"/>
        </w:rPr>
        <w:t>websit</w:t>
      </w:r>
      <w:r w:rsidR="00440841" w:rsidRPr="00D4433B">
        <w:rPr>
          <w:lang w:val="ro-RO"/>
        </w:rPr>
        <w:t>e-</w:t>
      </w:r>
      <w:proofErr w:type="spellStart"/>
      <w:r w:rsidR="00440841" w:rsidRPr="00D4433B">
        <w:rPr>
          <w:lang w:val="ro-RO"/>
        </w:rPr>
        <w:t>ul</w:t>
      </w:r>
      <w:proofErr w:type="spellEnd"/>
      <w:r w:rsidR="00440841" w:rsidRPr="00D4433B">
        <w:rPr>
          <w:lang w:val="ro-RO"/>
        </w:rPr>
        <w:t xml:space="preserve"> ziarului</w:t>
      </w:r>
      <w:r w:rsidRPr="00D4433B">
        <w:rPr>
          <w:lang w:val="ro-RO"/>
        </w:rPr>
        <w:t>.</w:t>
      </w:r>
    </w:p>
    <w:p w14:paraId="0BE288A2" w14:textId="207BAB19" w:rsidR="006D0621" w:rsidRPr="00D4433B" w:rsidRDefault="001B306A" w:rsidP="006D0621">
      <w:pPr>
        <w:pStyle w:val="JuPara"/>
        <w:rPr>
          <w:lang w:val="ro-RO"/>
        </w:rPr>
      </w:pPr>
      <w:r w:rsidRPr="00D4433B">
        <w:rPr>
          <w:lang w:val="ro-RO"/>
        </w:rPr>
        <w:t xml:space="preserve">A </w:t>
      </w:r>
      <w:r w:rsidR="006D0621" w:rsidRPr="00D4433B">
        <w:rPr>
          <w:lang w:val="ro-RO"/>
        </w:rPr>
        <w:t>observ</w:t>
      </w:r>
      <w:r w:rsidRPr="00D4433B">
        <w:rPr>
          <w:lang w:val="ro-RO"/>
        </w:rPr>
        <w:t xml:space="preserve">at că </w:t>
      </w:r>
      <w:r w:rsidR="006D0621" w:rsidRPr="00D4433B">
        <w:rPr>
          <w:lang w:val="ro-RO"/>
        </w:rPr>
        <w:t>fa</w:t>
      </w:r>
      <w:r w:rsidRPr="00D4433B">
        <w:rPr>
          <w:lang w:val="ro-RO"/>
        </w:rPr>
        <w:t xml:space="preserve">ptele reținute în caz nu făceau obiectul </w:t>
      </w:r>
      <w:r w:rsidR="006D0621" w:rsidRPr="00D4433B">
        <w:rPr>
          <w:lang w:val="ro-RO"/>
        </w:rPr>
        <w:t>dispute</w:t>
      </w:r>
      <w:r w:rsidRPr="00D4433B">
        <w:rPr>
          <w:lang w:val="ro-RO"/>
        </w:rPr>
        <w:t>i între</w:t>
      </w:r>
      <w:r w:rsidR="006D0621" w:rsidRPr="00D4433B">
        <w:rPr>
          <w:lang w:val="ro-RO"/>
        </w:rPr>
        <w:t xml:space="preserve"> </w:t>
      </w:r>
      <w:r w:rsidRPr="00D4433B">
        <w:rPr>
          <w:lang w:val="ro-RO"/>
        </w:rPr>
        <w:t>părți</w:t>
      </w:r>
      <w:r w:rsidR="006D0621" w:rsidRPr="00D4433B">
        <w:rPr>
          <w:lang w:val="ro-RO"/>
        </w:rPr>
        <w:t xml:space="preserve">. </w:t>
      </w:r>
      <w:r w:rsidR="00E117AC" w:rsidRPr="00D4433B">
        <w:rPr>
          <w:lang w:val="ro-RO"/>
        </w:rPr>
        <w:t xml:space="preserve">Cererile </w:t>
      </w:r>
      <w:r w:rsidR="003F2431" w:rsidRPr="00D4433B">
        <w:rPr>
          <w:lang w:val="ro-RO"/>
        </w:rPr>
        <w:t>reclamanț</w:t>
      </w:r>
      <w:r w:rsidR="00E117AC" w:rsidRPr="00D4433B">
        <w:rPr>
          <w:lang w:val="ro-RO"/>
        </w:rPr>
        <w:t xml:space="preserve">ilor au abordat anumite </w:t>
      </w:r>
      <w:r w:rsidR="00AE5EE3" w:rsidRPr="00D4433B">
        <w:rPr>
          <w:lang w:val="ro-RO"/>
        </w:rPr>
        <w:t>fa</w:t>
      </w:r>
      <w:r w:rsidR="00E117AC" w:rsidRPr="00D4433B">
        <w:rPr>
          <w:lang w:val="ro-RO"/>
        </w:rPr>
        <w:t>pte</w:t>
      </w:r>
      <w:r w:rsidR="00AE5EE3" w:rsidRPr="00D4433B">
        <w:rPr>
          <w:lang w:val="ro-RO"/>
        </w:rPr>
        <w:t xml:space="preserve"> – </w:t>
      </w:r>
      <w:r w:rsidR="00E117AC" w:rsidRPr="00D4433B">
        <w:rPr>
          <w:lang w:val="ro-RO"/>
        </w:rPr>
        <w:t xml:space="preserve">respectiv prezența continuată a articolului pe </w:t>
      </w:r>
      <w:r w:rsidR="00AE5EE3" w:rsidRPr="00D4433B">
        <w:rPr>
          <w:lang w:val="ro-RO"/>
        </w:rPr>
        <w:t>website</w:t>
      </w:r>
      <w:r w:rsidR="00E117AC" w:rsidRPr="00D4433B">
        <w:rPr>
          <w:lang w:val="ro-RO"/>
        </w:rPr>
        <w:t>-</w:t>
      </w:r>
      <w:proofErr w:type="spellStart"/>
      <w:r w:rsidR="00E117AC" w:rsidRPr="00D4433B">
        <w:rPr>
          <w:lang w:val="ro-RO"/>
        </w:rPr>
        <w:t>ul</w:t>
      </w:r>
      <w:proofErr w:type="spellEnd"/>
      <w:r w:rsidR="00AE5EE3" w:rsidRPr="00D4433B">
        <w:rPr>
          <w:lang w:val="ro-RO"/>
        </w:rPr>
        <w:t xml:space="preserve"> </w:t>
      </w:r>
      <w:r w:rsidR="00E117AC" w:rsidRPr="00D4433B">
        <w:rPr>
          <w:lang w:val="ro-RO"/>
        </w:rPr>
        <w:t xml:space="preserve">ziarului la cinci ani de la </w:t>
      </w:r>
      <w:r w:rsidR="00AE5EE3" w:rsidRPr="00D4433B">
        <w:rPr>
          <w:lang w:val="ro-RO"/>
        </w:rPr>
        <w:t>publica</w:t>
      </w:r>
      <w:r w:rsidR="00E117AC" w:rsidRPr="00D4433B">
        <w:rPr>
          <w:lang w:val="ro-RO"/>
        </w:rPr>
        <w:t>rea</w:t>
      </w:r>
      <w:r w:rsidR="00AE5EE3" w:rsidRPr="00D4433B">
        <w:rPr>
          <w:lang w:val="ro-RO"/>
        </w:rPr>
        <w:t xml:space="preserve"> artic</w:t>
      </w:r>
      <w:r w:rsidR="00E117AC" w:rsidRPr="00D4433B">
        <w:rPr>
          <w:lang w:val="ro-RO"/>
        </w:rPr>
        <w:t>olului</w:t>
      </w:r>
      <w:r w:rsidR="00AE5EE3" w:rsidRPr="00D4433B">
        <w:rPr>
          <w:lang w:val="ro-RO"/>
        </w:rPr>
        <w:t xml:space="preserve"> </w:t>
      </w:r>
      <w:r w:rsidR="00E117AC" w:rsidRPr="00D4433B">
        <w:rPr>
          <w:lang w:val="ro-RO"/>
        </w:rPr>
        <w:t>în ziar</w:t>
      </w:r>
      <w:r w:rsidR="00AE5EE3" w:rsidRPr="00D4433B">
        <w:rPr>
          <w:lang w:val="ro-RO"/>
        </w:rPr>
        <w:t xml:space="preserve">– </w:t>
      </w:r>
      <w:r w:rsidR="00E117AC" w:rsidRPr="00D4433B">
        <w:rPr>
          <w:lang w:val="ro-RO"/>
        </w:rPr>
        <w:t>care a intervenit de la soluționarea cazului în primă instanță</w:t>
      </w:r>
      <w:r w:rsidR="00AE5EE3" w:rsidRPr="00D4433B">
        <w:rPr>
          <w:lang w:val="ro-RO"/>
        </w:rPr>
        <w:t xml:space="preserve">. </w:t>
      </w:r>
      <w:r w:rsidR="00386844" w:rsidRPr="00D4433B">
        <w:rPr>
          <w:lang w:val="ro-RO"/>
        </w:rPr>
        <w:t xml:space="preserve">Esența chestiunii juridice ce trebuia stabilită de instanță era dacă descoperirea unei noi surse </w:t>
      </w:r>
      <w:r w:rsidR="00F92104" w:rsidRPr="00D4433B">
        <w:rPr>
          <w:lang w:val="ro-RO"/>
        </w:rPr>
        <w:t xml:space="preserve">de </w:t>
      </w:r>
      <w:r w:rsidR="00386844" w:rsidRPr="00D4433B">
        <w:rPr>
          <w:lang w:val="ro-RO"/>
        </w:rPr>
        <w:t>publica</w:t>
      </w:r>
      <w:r w:rsidR="00F92104" w:rsidRPr="00D4433B">
        <w:rPr>
          <w:lang w:val="ro-RO"/>
        </w:rPr>
        <w:t>re</w:t>
      </w:r>
      <w:r w:rsidR="00386844" w:rsidRPr="00D4433B">
        <w:rPr>
          <w:lang w:val="ro-RO"/>
        </w:rPr>
        <w:t xml:space="preserve"> </w:t>
      </w:r>
      <w:r w:rsidR="006D0621" w:rsidRPr="00D4433B">
        <w:rPr>
          <w:lang w:val="ro-RO"/>
        </w:rPr>
        <w:t>– inclu</w:t>
      </w:r>
      <w:r w:rsidR="00386844" w:rsidRPr="00D4433B">
        <w:rPr>
          <w:lang w:val="ro-RO"/>
        </w:rPr>
        <w:t xml:space="preserve">siv pe </w:t>
      </w:r>
      <w:r w:rsidR="006D0621" w:rsidRPr="00D4433B">
        <w:rPr>
          <w:lang w:val="ro-RO"/>
        </w:rPr>
        <w:t xml:space="preserve">Internet – </w:t>
      </w:r>
      <w:r w:rsidR="00386844" w:rsidRPr="00D4433B">
        <w:rPr>
          <w:lang w:val="ro-RO"/>
        </w:rPr>
        <w:t xml:space="preserve">oferea o bază reală pentru o nouă acțiune având ca obiect protejarea drepturilor </w:t>
      </w:r>
      <w:r w:rsidR="006D0621" w:rsidRPr="00D4433B">
        <w:rPr>
          <w:lang w:val="ro-RO"/>
        </w:rPr>
        <w:t>personal</w:t>
      </w:r>
      <w:r w:rsidR="00386844" w:rsidRPr="00D4433B">
        <w:rPr>
          <w:lang w:val="ro-RO"/>
        </w:rPr>
        <w:t>e</w:t>
      </w:r>
      <w:r w:rsidR="006D0621" w:rsidRPr="00D4433B">
        <w:rPr>
          <w:lang w:val="ro-RO"/>
        </w:rPr>
        <w:t xml:space="preserve"> </w:t>
      </w:r>
      <w:r w:rsidR="00386844" w:rsidRPr="00D4433B">
        <w:rPr>
          <w:lang w:val="ro-RO"/>
        </w:rPr>
        <w:t xml:space="preserve">în sensul Codului </w:t>
      </w:r>
      <w:r w:rsidR="006D0621" w:rsidRPr="00D4433B">
        <w:rPr>
          <w:lang w:val="ro-RO"/>
        </w:rPr>
        <w:t xml:space="preserve">Civil. </w:t>
      </w:r>
      <w:r w:rsidR="00F92104" w:rsidRPr="00D4433B">
        <w:rPr>
          <w:lang w:val="ro-RO"/>
        </w:rPr>
        <w:t>În opinia instanței</w:t>
      </w:r>
      <w:r w:rsidR="006D0621" w:rsidRPr="00D4433B">
        <w:rPr>
          <w:lang w:val="ro-RO"/>
        </w:rPr>
        <w:t xml:space="preserve">, </w:t>
      </w:r>
      <w:r w:rsidR="00F92104" w:rsidRPr="00D4433B">
        <w:rPr>
          <w:lang w:val="ro-RO"/>
        </w:rPr>
        <w:t>răspunsul la o astfel de întrebare ar trebui să fie afirmativ</w:t>
      </w:r>
      <w:r w:rsidR="009C053A" w:rsidRPr="00D4433B">
        <w:rPr>
          <w:lang w:val="ro-RO"/>
        </w:rPr>
        <w:t xml:space="preserve">. </w:t>
      </w:r>
      <w:r w:rsidR="00F92104" w:rsidRPr="00D4433B">
        <w:rPr>
          <w:lang w:val="ro-RO"/>
        </w:rPr>
        <w:t xml:space="preserve">Instanța era de părere că descoperirea unei noi surse de </w:t>
      </w:r>
      <w:r w:rsidR="006D0621" w:rsidRPr="00D4433B">
        <w:rPr>
          <w:lang w:val="ro-RO"/>
        </w:rPr>
        <w:t>publica</w:t>
      </w:r>
      <w:r w:rsidR="00F92104" w:rsidRPr="00D4433B">
        <w:rPr>
          <w:lang w:val="ro-RO"/>
        </w:rPr>
        <w:t>re</w:t>
      </w:r>
      <w:r w:rsidR="006D0621" w:rsidRPr="00D4433B">
        <w:rPr>
          <w:lang w:val="ro-RO"/>
        </w:rPr>
        <w:t xml:space="preserve">, </w:t>
      </w:r>
      <w:r w:rsidR="00F92104" w:rsidRPr="00D4433B">
        <w:rPr>
          <w:lang w:val="ro-RO"/>
        </w:rPr>
        <w:t>respectiv website-</w:t>
      </w:r>
      <w:proofErr w:type="spellStart"/>
      <w:r w:rsidR="00F92104" w:rsidRPr="00D4433B">
        <w:rPr>
          <w:lang w:val="ro-RO"/>
        </w:rPr>
        <w:t>ul</w:t>
      </w:r>
      <w:proofErr w:type="spellEnd"/>
      <w:r w:rsidR="00F92104" w:rsidRPr="00D4433B">
        <w:rPr>
          <w:lang w:val="ro-RO"/>
        </w:rPr>
        <w:t xml:space="preserve"> ziarului</w:t>
      </w:r>
      <w:r w:rsidR="006D0621" w:rsidRPr="00D4433B">
        <w:rPr>
          <w:lang w:val="ro-RO"/>
        </w:rPr>
        <w:t xml:space="preserve">, </w:t>
      </w:r>
      <w:r w:rsidR="00F92104" w:rsidRPr="00D4433B">
        <w:rPr>
          <w:lang w:val="ro-RO"/>
        </w:rPr>
        <w:t xml:space="preserve">a articolului </w:t>
      </w:r>
      <w:r w:rsidR="006D0621" w:rsidRPr="00D4433B">
        <w:rPr>
          <w:lang w:val="ro-RO"/>
        </w:rPr>
        <w:t>def</w:t>
      </w:r>
      <w:r w:rsidR="00F92104" w:rsidRPr="00D4433B">
        <w:rPr>
          <w:lang w:val="ro-RO"/>
        </w:rPr>
        <w:t>ăi</w:t>
      </w:r>
      <w:r w:rsidR="006D0621" w:rsidRPr="00D4433B">
        <w:rPr>
          <w:lang w:val="ro-RO"/>
        </w:rPr>
        <w:t>m</w:t>
      </w:r>
      <w:r w:rsidR="00F92104" w:rsidRPr="00D4433B">
        <w:rPr>
          <w:lang w:val="ro-RO"/>
        </w:rPr>
        <w:t xml:space="preserve">ător a dat naștere unei noi acțiuni </w:t>
      </w:r>
      <w:r w:rsidR="004F6C96" w:rsidRPr="00D4433B">
        <w:rPr>
          <w:lang w:val="ro-RO"/>
        </w:rPr>
        <w:t xml:space="preserve">din partea </w:t>
      </w:r>
      <w:r w:rsidR="003F2431" w:rsidRPr="00D4433B">
        <w:rPr>
          <w:lang w:val="ro-RO"/>
        </w:rPr>
        <w:t>reclamanț</w:t>
      </w:r>
      <w:r w:rsidR="004F6C96" w:rsidRPr="00D4433B">
        <w:rPr>
          <w:lang w:val="ro-RO"/>
        </w:rPr>
        <w:t>ilor</w:t>
      </w:r>
      <w:r w:rsidR="006D0621" w:rsidRPr="00D4433B">
        <w:rPr>
          <w:lang w:val="ro-RO"/>
        </w:rPr>
        <w:t xml:space="preserve">. </w:t>
      </w:r>
      <w:r w:rsidR="004F6C96" w:rsidRPr="00D4433B">
        <w:rPr>
          <w:lang w:val="ro-RO"/>
        </w:rPr>
        <w:t xml:space="preserve">Aspectele pe care cazul le implica nu erau astfel </w:t>
      </w:r>
      <w:proofErr w:type="spellStart"/>
      <w:r w:rsidR="006D0621" w:rsidRPr="00D4433B">
        <w:rPr>
          <w:i/>
          <w:lang w:val="ro-RO"/>
        </w:rPr>
        <w:t>res</w:t>
      </w:r>
      <w:proofErr w:type="spellEnd"/>
      <w:r w:rsidR="006D0621" w:rsidRPr="00D4433B">
        <w:rPr>
          <w:i/>
          <w:lang w:val="ro-RO"/>
        </w:rPr>
        <w:t xml:space="preserve"> </w:t>
      </w:r>
      <w:proofErr w:type="spellStart"/>
      <w:r w:rsidR="006D0621" w:rsidRPr="00D4433B">
        <w:rPr>
          <w:i/>
          <w:lang w:val="ro-RO"/>
        </w:rPr>
        <w:t>judicata</w:t>
      </w:r>
      <w:proofErr w:type="spellEnd"/>
      <w:r w:rsidR="006D0621" w:rsidRPr="00D4433B">
        <w:rPr>
          <w:lang w:val="ro-RO"/>
        </w:rPr>
        <w:t>.</w:t>
      </w:r>
    </w:p>
    <w:p w14:paraId="0CA0719E" w14:textId="2C0DD996" w:rsidR="0090070F" w:rsidRPr="00D4433B" w:rsidRDefault="004F6C96" w:rsidP="006D0621">
      <w:pPr>
        <w:pStyle w:val="JuPara"/>
        <w:rPr>
          <w:lang w:val="ro-RO"/>
        </w:rPr>
      </w:pPr>
      <w:r w:rsidRPr="00D4433B">
        <w:rPr>
          <w:lang w:val="ro-RO"/>
        </w:rPr>
        <w:t>În orice caz</w:t>
      </w:r>
      <w:r w:rsidR="006D0621" w:rsidRPr="00D4433B">
        <w:rPr>
          <w:lang w:val="ro-RO"/>
        </w:rPr>
        <w:t xml:space="preserve">, </w:t>
      </w:r>
      <w:r w:rsidR="00E54176" w:rsidRPr="00D4433B">
        <w:rPr>
          <w:lang w:val="ro-RO"/>
        </w:rPr>
        <w:t xml:space="preserve">având în vedere </w:t>
      </w:r>
      <w:r w:rsidR="006D0621" w:rsidRPr="00D4433B">
        <w:rPr>
          <w:lang w:val="ro-RO"/>
        </w:rPr>
        <w:t>circumstan</w:t>
      </w:r>
      <w:r w:rsidR="00E54176" w:rsidRPr="00D4433B">
        <w:rPr>
          <w:lang w:val="ro-RO"/>
        </w:rPr>
        <w:t>țele cazului,</w:t>
      </w:r>
      <w:r w:rsidR="006D0621" w:rsidRPr="00D4433B">
        <w:rPr>
          <w:lang w:val="ro-RO"/>
        </w:rPr>
        <w:t xml:space="preserve"> </w:t>
      </w:r>
      <w:r w:rsidR="00E54176" w:rsidRPr="00D4433B">
        <w:rPr>
          <w:lang w:val="ro-RO"/>
        </w:rPr>
        <w:t>instanța a fost de părere că argumentele pârâților trebuiau evaluate cu aceeași greutate</w:t>
      </w:r>
      <w:r w:rsidR="006D0621" w:rsidRPr="00D4433B">
        <w:rPr>
          <w:lang w:val="ro-RO"/>
        </w:rPr>
        <w:t xml:space="preserve">. </w:t>
      </w:r>
      <w:r w:rsidR="00E54176" w:rsidRPr="00D4433B">
        <w:rPr>
          <w:lang w:val="ro-RO"/>
        </w:rPr>
        <w:t xml:space="preserve">Instanța face </w:t>
      </w:r>
      <w:r w:rsidR="006D0621" w:rsidRPr="00D4433B">
        <w:rPr>
          <w:lang w:val="ro-RO"/>
        </w:rPr>
        <w:t>refer</w:t>
      </w:r>
      <w:r w:rsidR="00E54176" w:rsidRPr="00D4433B">
        <w:rPr>
          <w:lang w:val="ro-RO"/>
        </w:rPr>
        <w:t xml:space="preserve">ire </w:t>
      </w:r>
      <w:r w:rsidR="0075161B" w:rsidRPr="00D4433B">
        <w:rPr>
          <w:lang w:val="ro-RO"/>
        </w:rPr>
        <w:t xml:space="preserve">la garanțiile </w:t>
      </w:r>
      <w:r w:rsidR="006D0621" w:rsidRPr="00D4433B">
        <w:rPr>
          <w:lang w:val="ro-RO"/>
        </w:rPr>
        <w:t>constitu</w:t>
      </w:r>
      <w:r w:rsidR="0075161B" w:rsidRPr="00D4433B">
        <w:rPr>
          <w:lang w:val="ro-RO"/>
        </w:rPr>
        <w:t>ț</w:t>
      </w:r>
      <w:r w:rsidR="006D0621" w:rsidRPr="00D4433B">
        <w:rPr>
          <w:lang w:val="ro-RO"/>
        </w:rPr>
        <w:t>ional</w:t>
      </w:r>
      <w:r w:rsidR="0075161B" w:rsidRPr="00D4433B">
        <w:rPr>
          <w:lang w:val="ro-RO"/>
        </w:rPr>
        <w:t>e</w:t>
      </w:r>
      <w:r w:rsidR="006D0621" w:rsidRPr="00D4433B">
        <w:rPr>
          <w:lang w:val="ro-RO"/>
        </w:rPr>
        <w:t xml:space="preserve"> </w:t>
      </w:r>
      <w:r w:rsidR="0075161B" w:rsidRPr="00D4433B">
        <w:rPr>
          <w:lang w:val="ro-RO"/>
        </w:rPr>
        <w:t xml:space="preserve">ale libertății de exprimare și a reținut că cenzura </w:t>
      </w:r>
      <w:r w:rsidR="006D0621" w:rsidRPr="00D4433B">
        <w:rPr>
          <w:lang w:val="ro-RO"/>
        </w:rPr>
        <w:t>preventiv</w:t>
      </w:r>
      <w:r w:rsidR="0075161B" w:rsidRPr="00D4433B">
        <w:rPr>
          <w:lang w:val="ro-RO"/>
        </w:rPr>
        <w:t>ă</w:t>
      </w:r>
      <w:r w:rsidR="006D0621" w:rsidRPr="00D4433B">
        <w:rPr>
          <w:lang w:val="ro-RO"/>
        </w:rPr>
        <w:t xml:space="preserve"> </w:t>
      </w:r>
      <w:r w:rsidR="0075161B" w:rsidRPr="00D4433B">
        <w:rPr>
          <w:lang w:val="ro-RO"/>
        </w:rPr>
        <w:t xml:space="preserve">era </w:t>
      </w:r>
      <w:r w:rsidR="006D0621" w:rsidRPr="00D4433B">
        <w:rPr>
          <w:lang w:val="ro-RO"/>
        </w:rPr>
        <w:t>incompatib</w:t>
      </w:r>
      <w:r w:rsidR="0075161B" w:rsidRPr="00D4433B">
        <w:rPr>
          <w:lang w:val="ro-RO"/>
        </w:rPr>
        <w:t>ilă</w:t>
      </w:r>
      <w:r w:rsidR="006D0621" w:rsidRPr="00D4433B">
        <w:rPr>
          <w:lang w:val="ro-RO"/>
        </w:rPr>
        <w:t xml:space="preserve"> </w:t>
      </w:r>
      <w:r w:rsidR="0075161B" w:rsidRPr="00D4433B">
        <w:rPr>
          <w:lang w:val="ro-RO"/>
        </w:rPr>
        <w:t xml:space="preserve">cu </w:t>
      </w:r>
      <w:r w:rsidR="006D0621" w:rsidRPr="00D4433B">
        <w:rPr>
          <w:lang w:val="ro-RO"/>
        </w:rPr>
        <w:t>Constitu</w:t>
      </w:r>
      <w:r w:rsidR="0075161B" w:rsidRPr="00D4433B">
        <w:rPr>
          <w:lang w:val="ro-RO"/>
        </w:rPr>
        <w:t>ția</w:t>
      </w:r>
      <w:r w:rsidR="006D0621" w:rsidRPr="00D4433B">
        <w:rPr>
          <w:lang w:val="ro-RO"/>
        </w:rPr>
        <w:t xml:space="preserve">. </w:t>
      </w:r>
      <w:r w:rsidR="0075161B" w:rsidRPr="00D4433B">
        <w:rPr>
          <w:lang w:val="ro-RO"/>
        </w:rPr>
        <w:t xml:space="preserve">Era dreptul și obligația </w:t>
      </w:r>
      <w:r w:rsidR="006D0621" w:rsidRPr="00D4433B">
        <w:rPr>
          <w:lang w:val="ro-RO"/>
        </w:rPr>
        <w:t>jurnali</w:t>
      </w:r>
      <w:r w:rsidR="0075161B" w:rsidRPr="00D4433B">
        <w:rPr>
          <w:lang w:val="ro-RO"/>
        </w:rPr>
        <w:t xml:space="preserve">știlor să </w:t>
      </w:r>
      <w:r w:rsidR="006D0621" w:rsidRPr="00D4433B">
        <w:rPr>
          <w:lang w:val="ro-RO"/>
        </w:rPr>
        <w:t>inform</w:t>
      </w:r>
      <w:r w:rsidR="0075161B" w:rsidRPr="00D4433B">
        <w:rPr>
          <w:lang w:val="ro-RO"/>
        </w:rPr>
        <w:t>eze</w:t>
      </w:r>
      <w:r w:rsidR="006D0621" w:rsidRPr="00D4433B">
        <w:rPr>
          <w:lang w:val="ro-RO"/>
        </w:rPr>
        <w:t xml:space="preserve"> public</w:t>
      </w:r>
      <w:r w:rsidR="0075161B" w:rsidRPr="00D4433B">
        <w:rPr>
          <w:lang w:val="ro-RO"/>
        </w:rPr>
        <w:t xml:space="preserve">ul larg despre aspecte de interes </w:t>
      </w:r>
      <w:r w:rsidR="006D0621" w:rsidRPr="00D4433B">
        <w:rPr>
          <w:lang w:val="ro-RO"/>
        </w:rPr>
        <w:t>public.</w:t>
      </w:r>
    </w:p>
    <w:p w14:paraId="023367CF" w14:textId="47C9C54E" w:rsidR="0090070F" w:rsidRPr="00D4433B" w:rsidRDefault="006D0621" w:rsidP="00AE5EE3">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12</w:t>
      </w:r>
      <w:r w:rsidRPr="00D4433B">
        <w:rPr>
          <w:lang w:val="ro-RO"/>
        </w:rPr>
        <w:fldChar w:fldCharType="end"/>
      </w:r>
      <w:r w:rsidRPr="00D4433B">
        <w:rPr>
          <w:lang w:val="ro-RO"/>
        </w:rPr>
        <w:t>.  </w:t>
      </w:r>
      <w:r w:rsidR="0075161B" w:rsidRPr="00D4433B">
        <w:rPr>
          <w:lang w:val="ro-RO"/>
        </w:rPr>
        <w:t xml:space="preserve">În soluționarea celor trei cereri depuse de </w:t>
      </w:r>
      <w:r w:rsidR="003F2431" w:rsidRPr="00D4433B">
        <w:rPr>
          <w:lang w:val="ro-RO"/>
        </w:rPr>
        <w:t>reclamanț</w:t>
      </w:r>
      <w:r w:rsidR="0075161B" w:rsidRPr="00D4433B">
        <w:rPr>
          <w:lang w:val="ro-RO"/>
        </w:rPr>
        <w:t>i</w:t>
      </w:r>
      <w:r w:rsidR="0024624F" w:rsidRPr="00D4433B">
        <w:rPr>
          <w:lang w:val="ro-RO"/>
        </w:rPr>
        <w:t xml:space="preserve">, </w:t>
      </w:r>
      <w:r w:rsidR="000165AA" w:rsidRPr="00D4433B">
        <w:rPr>
          <w:lang w:val="ro-RO"/>
        </w:rPr>
        <w:t xml:space="preserve">instanța a insistat asupra faptului că îndepărtarea </w:t>
      </w:r>
      <w:r w:rsidR="0024624F" w:rsidRPr="00D4433B">
        <w:rPr>
          <w:lang w:val="ro-RO"/>
        </w:rPr>
        <w:t>artic</w:t>
      </w:r>
      <w:r w:rsidR="000165AA" w:rsidRPr="00D4433B">
        <w:rPr>
          <w:lang w:val="ro-RO"/>
        </w:rPr>
        <w:t xml:space="preserve">olului de pe </w:t>
      </w:r>
      <w:r w:rsidR="0024624F" w:rsidRPr="00D4433B">
        <w:rPr>
          <w:lang w:val="ro-RO"/>
        </w:rPr>
        <w:t xml:space="preserve">website </w:t>
      </w:r>
      <w:r w:rsidR="000165AA" w:rsidRPr="00D4433B">
        <w:rPr>
          <w:lang w:val="ro-RO"/>
        </w:rPr>
        <w:t xml:space="preserve">ar fi fost lipsită de orice scop </w:t>
      </w:r>
      <w:r w:rsidR="0024624F" w:rsidRPr="00D4433B">
        <w:rPr>
          <w:lang w:val="ro-RO"/>
        </w:rPr>
        <w:t xml:space="preserve">practic </w:t>
      </w:r>
      <w:r w:rsidR="000165AA" w:rsidRPr="00D4433B">
        <w:rPr>
          <w:lang w:val="ro-RO"/>
        </w:rPr>
        <w:t xml:space="preserve">și ar fi reprezentat cenzură și </w:t>
      </w:r>
      <w:r w:rsidR="0024624F" w:rsidRPr="00D4433B">
        <w:rPr>
          <w:lang w:val="ro-RO"/>
        </w:rPr>
        <w:t>re</w:t>
      </w:r>
      <w:r w:rsidR="000165AA" w:rsidRPr="00D4433B">
        <w:rPr>
          <w:lang w:val="ro-RO"/>
        </w:rPr>
        <w:t>scrierea istoriei</w:t>
      </w:r>
      <w:r w:rsidR="0024624F" w:rsidRPr="00D4433B">
        <w:rPr>
          <w:lang w:val="ro-RO"/>
        </w:rPr>
        <w:t>. M</w:t>
      </w:r>
      <w:r w:rsidR="000165AA" w:rsidRPr="00D4433B">
        <w:rPr>
          <w:lang w:val="ro-RO"/>
        </w:rPr>
        <w:t>ai mult</w:t>
      </w:r>
      <w:r w:rsidR="0024624F" w:rsidRPr="00D4433B">
        <w:rPr>
          <w:lang w:val="ro-RO"/>
        </w:rPr>
        <w:t xml:space="preserve">, </w:t>
      </w:r>
      <w:r w:rsidR="000165AA" w:rsidRPr="00D4433B">
        <w:rPr>
          <w:lang w:val="ro-RO"/>
        </w:rPr>
        <w:t xml:space="preserve">ar fi contravenit principiilor de </w:t>
      </w:r>
      <w:r w:rsidR="0024624F" w:rsidRPr="00D4433B">
        <w:rPr>
          <w:lang w:val="ro-RO"/>
        </w:rPr>
        <w:t>arhiv</w:t>
      </w:r>
      <w:r w:rsidR="000165AA" w:rsidRPr="00D4433B">
        <w:rPr>
          <w:lang w:val="ro-RO"/>
        </w:rPr>
        <w:t>are</w:t>
      </w:r>
      <w:r w:rsidR="0024624F" w:rsidRPr="00D4433B">
        <w:rPr>
          <w:lang w:val="ro-RO"/>
        </w:rPr>
        <w:t>.</w:t>
      </w:r>
    </w:p>
    <w:p w14:paraId="09222687" w14:textId="176BE127" w:rsidR="0090070F" w:rsidRPr="00D4433B" w:rsidRDefault="000165AA" w:rsidP="000165AA">
      <w:pPr>
        <w:pStyle w:val="JuPara"/>
        <w:rPr>
          <w:lang w:val="ro-RO"/>
        </w:rPr>
      </w:pPr>
      <w:r w:rsidRPr="00D4433B">
        <w:rPr>
          <w:lang w:val="ro-RO"/>
        </w:rPr>
        <w:t xml:space="preserve">Instanța a subliniat faptul că </w:t>
      </w:r>
      <w:r w:rsidR="003F2431" w:rsidRPr="00D4433B">
        <w:rPr>
          <w:lang w:val="ro-RO"/>
        </w:rPr>
        <w:t>reclamanț</w:t>
      </w:r>
      <w:r w:rsidRPr="00D4433B">
        <w:rPr>
          <w:lang w:val="ro-RO"/>
        </w:rPr>
        <w:t xml:space="preserve">ii au primit deja scuze </w:t>
      </w:r>
      <w:r w:rsidR="000F2F28" w:rsidRPr="00D4433B">
        <w:rPr>
          <w:lang w:val="ro-RO"/>
        </w:rPr>
        <w:t>public</w:t>
      </w:r>
      <w:r w:rsidRPr="00D4433B">
        <w:rPr>
          <w:lang w:val="ro-RO"/>
        </w:rPr>
        <w:t>e</w:t>
      </w:r>
      <w:r w:rsidR="00AE5EE3" w:rsidRPr="00D4433B">
        <w:rPr>
          <w:lang w:val="ro-RO"/>
        </w:rPr>
        <w:t xml:space="preserve">. </w:t>
      </w:r>
      <w:r w:rsidRPr="00D4433B">
        <w:rPr>
          <w:lang w:val="ro-RO"/>
        </w:rPr>
        <w:t xml:space="preserve">Admiterea cererii </w:t>
      </w:r>
      <w:r w:rsidR="003F2431" w:rsidRPr="00D4433B">
        <w:rPr>
          <w:lang w:val="ro-RO"/>
        </w:rPr>
        <w:t>reclamanț</w:t>
      </w:r>
      <w:r w:rsidRPr="00D4433B">
        <w:rPr>
          <w:lang w:val="ro-RO"/>
        </w:rPr>
        <w:t xml:space="preserve">ilor de solicitare a publicării de scuze nu ar oferi </w:t>
      </w:r>
      <w:r w:rsidR="003F2431" w:rsidRPr="00D4433B">
        <w:rPr>
          <w:lang w:val="ro-RO"/>
        </w:rPr>
        <w:t>reclamanț</w:t>
      </w:r>
      <w:r w:rsidRPr="00D4433B">
        <w:rPr>
          <w:lang w:val="ro-RO"/>
        </w:rPr>
        <w:t>ilor o protecție adecvată</w:t>
      </w:r>
      <w:r w:rsidR="00AE5EE3" w:rsidRPr="00D4433B">
        <w:rPr>
          <w:lang w:val="ro-RO"/>
        </w:rPr>
        <w:t xml:space="preserve">. </w:t>
      </w:r>
      <w:r w:rsidRPr="00D4433B">
        <w:rPr>
          <w:lang w:val="ro-RO"/>
        </w:rPr>
        <w:t xml:space="preserve">Dacă aceștia, prin prezenta acțiune judiciară, ar fi solicitat un ordin prin care să se solicite adăugarea unei note de subsol la publicația de pe </w:t>
      </w:r>
      <w:r w:rsidR="00AE5EE3" w:rsidRPr="00D4433B">
        <w:rPr>
          <w:lang w:val="ro-RO"/>
        </w:rPr>
        <w:t xml:space="preserve">Internet </w:t>
      </w:r>
      <w:r w:rsidRPr="00D4433B">
        <w:rPr>
          <w:lang w:val="ro-RO"/>
        </w:rPr>
        <w:t xml:space="preserve">sau a unui </w:t>
      </w:r>
      <w:r w:rsidR="00AE5EE3" w:rsidRPr="00D4433B">
        <w:rPr>
          <w:lang w:val="ro-RO"/>
        </w:rPr>
        <w:t xml:space="preserve">link </w:t>
      </w:r>
      <w:r w:rsidRPr="00D4433B">
        <w:rPr>
          <w:lang w:val="ro-RO"/>
        </w:rPr>
        <w:t xml:space="preserve">prin care cititorul să fie </w:t>
      </w:r>
      <w:r w:rsidRPr="00D4433B">
        <w:rPr>
          <w:lang w:val="ro-RO"/>
        </w:rPr>
        <w:lastRenderedPageBreak/>
        <w:t xml:space="preserve">informat despre </w:t>
      </w:r>
      <w:r w:rsidR="00FF6E7C" w:rsidRPr="00D4433B">
        <w:rPr>
          <w:lang w:val="ro-RO"/>
        </w:rPr>
        <w:t>hotărârile</w:t>
      </w:r>
      <w:r w:rsidRPr="00D4433B">
        <w:rPr>
          <w:lang w:val="ro-RO"/>
        </w:rPr>
        <w:t xml:space="preserve"> judecătorești din </w:t>
      </w:r>
      <w:r w:rsidR="00AE5EE3" w:rsidRPr="00D4433B">
        <w:rPr>
          <w:lang w:val="ro-RO"/>
        </w:rPr>
        <w:t xml:space="preserve">8 </w:t>
      </w:r>
      <w:r w:rsidRPr="00D4433B">
        <w:rPr>
          <w:lang w:val="ro-RO"/>
        </w:rPr>
        <w:t xml:space="preserve">mai </w:t>
      </w:r>
      <w:r w:rsidR="00AE5EE3" w:rsidRPr="00D4433B">
        <w:rPr>
          <w:lang w:val="ro-RO"/>
        </w:rPr>
        <w:t xml:space="preserve">2002 </w:t>
      </w:r>
      <w:r w:rsidRPr="00D4433B">
        <w:rPr>
          <w:lang w:val="ro-RO"/>
        </w:rPr>
        <w:t xml:space="preserve">și </w:t>
      </w:r>
      <w:r w:rsidR="00AE5EE3" w:rsidRPr="00D4433B">
        <w:rPr>
          <w:lang w:val="ro-RO"/>
        </w:rPr>
        <w:t xml:space="preserve">24 </w:t>
      </w:r>
      <w:r w:rsidRPr="00D4433B">
        <w:rPr>
          <w:lang w:val="ro-RO"/>
        </w:rPr>
        <w:t>a</w:t>
      </w:r>
      <w:r w:rsidR="00AE5EE3" w:rsidRPr="00D4433B">
        <w:rPr>
          <w:lang w:val="ro-RO"/>
        </w:rPr>
        <w:t>pril</w:t>
      </w:r>
      <w:r w:rsidRPr="00D4433B">
        <w:rPr>
          <w:lang w:val="ro-RO"/>
        </w:rPr>
        <w:t>ie</w:t>
      </w:r>
      <w:r w:rsidR="00AE5EE3" w:rsidRPr="00D4433B">
        <w:rPr>
          <w:lang w:val="ro-RO"/>
        </w:rPr>
        <w:t xml:space="preserve"> 2003, </w:t>
      </w:r>
      <w:r w:rsidRPr="00D4433B">
        <w:rPr>
          <w:lang w:val="ro-RO"/>
        </w:rPr>
        <w:t xml:space="preserve">sau dacă ar fi solicitat instanței să </w:t>
      </w:r>
      <w:r w:rsidR="00EC516F" w:rsidRPr="00D4433B">
        <w:rPr>
          <w:lang w:val="ro-RO"/>
        </w:rPr>
        <w:t xml:space="preserve">dispună ca </w:t>
      </w:r>
      <w:r w:rsidRPr="00D4433B">
        <w:rPr>
          <w:lang w:val="ro-RO"/>
        </w:rPr>
        <w:t>pârâții să fie obligați să publice scuze pe website-</w:t>
      </w:r>
      <w:proofErr w:type="spellStart"/>
      <w:r w:rsidRPr="00D4433B">
        <w:rPr>
          <w:lang w:val="ro-RO"/>
        </w:rPr>
        <w:t>ul</w:t>
      </w:r>
      <w:proofErr w:type="spellEnd"/>
      <w:r w:rsidRPr="00D4433B">
        <w:rPr>
          <w:lang w:val="ro-RO"/>
        </w:rPr>
        <w:t xml:space="preserve"> ziarului</w:t>
      </w:r>
      <w:r w:rsidR="00AE5EE3" w:rsidRPr="00D4433B">
        <w:rPr>
          <w:lang w:val="ro-RO"/>
        </w:rPr>
        <w:t xml:space="preserve">, </w:t>
      </w:r>
      <w:r w:rsidRPr="00D4433B">
        <w:rPr>
          <w:lang w:val="ro-RO"/>
        </w:rPr>
        <w:t xml:space="preserve">instanța ar fi </w:t>
      </w:r>
      <w:r w:rsidR="00AE0AF9" w:rsidRPr="00D4433B">
        <w:rPr>
          <w:lang w:val="ro-RO"/>
        </w:rPr>
        <w:t>acordat o atenție considerabilă respectivei cereri</w:t>
      </w:r>
      <w:r w:rsidR="00AE5EE3" w:rsidRPr="00D4433B">
        <w:rPr>
          <w:lang w:val="ro-RO"/>
        </w:rPr>
        <w:t>.</w:t>
      </w:r>
    </w:p>
    <w:p w14:paraId="7E2CB09B" w14:textId="2A9D2007" w:rsidR="0090070F" w:rsidRPr="00D4433B" w:rsidRDefault="000F2F28" w:rsidP="00731206">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13</w:t>
      </w:r>
      <w:r w:rsidRPr="00D4433B">
        <w:rPr>
          <w:lang w:val="ro-RO"/>
        </w:rPr>
        <w:fldChar w:fldCharType="end"/>
      </w:r>
      <w:r w:rsidRPr="00D4433B">
        <w:rPr>
          <w:lang w:val="ro-RO"/>
        </w:rPr>
        <w:t>. </w:t>
      </w:r>
      <w:r w:rsidR="00AE0AF9" w:rsidRPr="00D4433B">
        <w:rPr>
          <w:lang w:val="ro-RO"/>
        </w:rPr>
        <w:t xml:space="preserve">Instanța a mai reținut că </w:t>
      </w:r>
      <w:r w:rsidR="003F2431" w:rsidRPr="00D4433B">
        <w:rPr>
          <w:lang w:val="ro-RO"/>
        </w:rPr>
        <w:t>reclamanț</w:t>
      </w:r>
      <w:r w:rsidR="00AE0AF9" w:rsidRPr="00D4433B">
        <w:rPr>
          <w:lang w:val="ro-RO"/>
        </w:rPr>
        <w:t>ii au primit deja o despăgubire prin primul set de procedurii judiciare</w:t>
      </w:r>
      <w:r w:rsidR="00AE5EE3" w:rsidRPr="00D4433B">
        <w:rPr>
          <w:lang w:val="ro-RO"/>
        </w:rPr>
        <w:t xml:space="preserve">. </w:t>
      </w:r>
      <w:r w:rsidR="00AE0AF9" w:rsidRPr="00D4433B">
        <w:rPr>
          <w:lang w:val="ro-RO"/>
        </w:rPr>
        <w:t xml:space="preserve">A mai reținut faptul că dacă aceștia ar fi descoperit </w:t>
      </w:r>
      <w:r w:rsidR="0024624F" w:rsidRPr="00D4433B">
        <w:rPr>
          <w:lang w:val="ro-RO"/>
        </w:rPr>
        <w:t>ci</w:t>
      </w:r>
      <w:r w:rsidRPr="00D4433B">
        <w:rPr>
          <w:lang w:val="ro-RO"/>
        </w:rPr>
        <w:t>r</w:t>
      </w:r>
      <w:r w:rsidR="0024624F" w:rsidRPr="00D4433B">
        <w:rPr>
          <w:lang w:val="ro-RO"/>
        </w:rPr>
        <w:t>cumstan</w:t>
      </w:r>
      <w:r w:rsidR="00AE0AF9" w:rsidRPr="00D4433B">
        <w:rPr>
          <w:lang w:val="ro-RO"/>
        </w:rPr>
        <w:t>țe</w:t>
      </w:r>
      <w:r w:rsidRPr="00D4433B">
        <w:rPr>
          <w:lang w:val="ro-RO"/>
        </w:rPr>
        <w:t xml:space="preserve"> relevant</w:t>
      </w:r>
      <w:r w:rsidR="00AE0AF9" w:rsidRPr="00D4433B">
        <w:rPr>
          <w:lang w:val="ro-RO"/>
        </w:rPr>
        <w:t>e</w:t>
      </w:r>
      <w:r w:rsidRPr="00D4433B">
        <w:rPr>
          <w:lang w:val="ro-RO"/>
        </w:rPr>
        <w:t xml:space="preserve"> </w:t>
      </w:r>
      <w:r w:rsidR="00AE0AF9" w:rsidRPr="00D4433B">
        <w:rPr>
          <w:lang w:val="ro-RO"/>
        </w:rPr>
        <w:t>pentru evaluarea cazului însă necunoscute acestora în timpul primului set de proceduri</w:t>
      </w:r>
      <w:r w:rsidRPr="00D4433B">
        <w:rPr>
          <w:lang w:val="ro-RO"/>
        </w:rPr>
        <w:t xml:space="preserve">, </w:t>
      </w:r>
      <w:r w:rsidR="00AE0AF9" w:rsidRPr="00D4433B">
        <w:rPr>
          <w:lang w:val="ro-RO"/>
        </w:rPr>
        <w:t xml:space="preserve">aceștia ar fi solicitat redeschiderea </w:t>
      </w:r>
      <w:r w:rsidRPr="00D4433B">
        <w:rPr>
          <w:lang w:val="ro-RO"/>
        </w:rPr>
        <w:t>proce</w:t>
      </w:r>
      <w:r w:rsidR="00AE0AF9" w:rsidRPr="00D4433B">
        <w:rPr>
          <w:lang w:val="ro-RO"/>
        </w:rPr>
        <w:t>durilor judecătorești mai degrabă decât să introducă o nouă acțiune civilă</w:t>
      </w:r>
      <w:r w:rsidRPr="00D4433B">
        <w:rPr>
          <w:lang w:val="ro-RO"/>
        </w:rPr>
        <w:t>.</w:t>
      </w:r>
    </w:p>
    <w:p w14:paraId="1380178C" w14:textId="518A1A78"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14</w:t>
      </w:r>
      <w:r w:rsidRPr="00D4433B">
        <w:rPr>
          <w:lang w:val="ro-RO"/>
        </w:rPr>
        <w:fldChar w:fldCharType="end"/>
      </w:r>
      <w:r w:rsidRPr="00D4433B">
        <w:rPr>
          <w:lang w:val="ro-RO"/>
        </w:rPr>
        <w:t>.  </w:t>
      </w:r>
      <w:r w:rsidR="003F2431" w:rsidRPr="00D4433B">
        <w:rPr>
          <w:lang w:val="ro-RO"/>
        </w:rPr>
        <w:t>Reclamanț</w:t>
      </w:r>
      <w:r w:rsidR="00AE0AF9" w:rsidRPr="00D4433B">
        <w:rPr>
          <w:lang w:val="ro-RO"/>
        </w:rPr>
        <w:t>ii au făcut apel</w:t>
      </w:r>
      <w:r w:rsidRPr="00D4433B">
        <w:rPr>
          <w:lang w:val="ro-RO"/>
        </w:rPr>
        <w:t>.</w:t>
      </w:r>
      <w:r w:rsidR="0090070F" w:rsidRPr="00D4433B">
        <w:rPr>
          <w:lang w:val="ro-RO"/>
        </w:rPr>
        <w:t xml:space="preserve"> </w:t>
      </w:r>
      <w:r w:rsidR="00AE0AF9" w:rsidRPr="00D4433B">
        <w:rPr>
          <w:lang w:val="ro-RO"/>
        </w:rPr>
        <w:t xml:space="preserve">Aceștia au argumentat că acest caz era </w:t>
      </w:r>
      <w:r w:rsidRPr="00D4433B">
        <w:rPr>
          <w:lang w:val="ro-RO"/>
        </w:rPr>
        <w:t xml:space="preserve">important </w:t>
      </w:r>
      <w:r w:rsidR="00AE0AF9" w:rsidRPr="00D4433B">
        <w:rPr>
          <w:lang w:val="ro-RO"/>
        </w:rPr>
        <w:t xml:space="preserve">prin aceea că ridica noi aspecte care nu au fost </w:t>
      </w:r>
      <w:r w:rsidR="00943575" w:rsidRPr="00D4433B">
        <w:rPr>
          <w:lang w:val="ro-RO"/>
        </w:rPr>
        <w:t>soluționate</w:t>
      </w:r>
      <w:r w:rsidR="00AE0AF9" w:rsidRPr="00D4433B">
        <w:rPr>
          <w:lang w:val="ro-RO"/>
        </w:rPr>
        <w:t xml:space="preserve"> până la acel moment </w:t>
      </w:r>
      <w:r w:rsidR="00943575" w:rsidRPr="00D4433B">
        <w:rPr>
          <w:lang w:val="ro-RO"/>
        </w:rPr>
        <w:t xml:space="preserve">în </w:t>
      </w:r>
      <w:r w:rsidRPr="00D4433B">
        <w:rPr>
          <w:lang w:val="ro-RO"/>
        </w:rPr>
        <w:t>practic</w:t>
      </w:r>
      <w:r w:rsidR="00943575" w:rsidRPr="00D4433B">
        <w:rPr>
          <w:lang w:val="ro-RO"/>
        </w:rPr>
        <w:t>a judiciară</w:t>
      </w:r>
      <w:r w:rsidRPr="00D4433B">
        <w:rPr>
          <w:lang w:val="ro-RO"/>
        </w:rPr>
        <w:t xml:space="preserve">. </w:t>
      </w:r>
      <w:r w:rsidR="00943575" w:rsidRPr="00D4433B">
        <w:rPr>
          <w:lang w:val="ro-RO"/>
        </w:rPr>
        <w:t xml:space="preserve">Aceștia au arătat că fiecare nouă citire a articolului pe </w:t>
      </w:r>
      <w:r w:rsidRPr="00D4433B">
        <w:rPr>
          <w:lang w:val="ro-RO"/>
        </w:rPr>
        <w:t>website</w:t>
      </w:r>
      <w:r w:rsidR="00943575" w:rsidRPr="00D4433B">
        <w:rPr>
          <w:lang w:val="ro-RO"/>
        </w:rPr>
        <w:t>-</w:t>
      </w:r>
      <w:proofErr w:type="spellStart"/>
      <w:r w:rsidR="00943575" w:rsidRPr="00D4433B">
        <w:rPr>
          <w:lang w:val="ro-RO"/>
        </w:rPr>
        <w:t>ul</w:t>
      </w:r>
      <w:proofErr w:type="spellEnd"/>
      <w:r w:rsidR="00943575" w:rsidRPr="00D4433B">
        <w:rPr>
          <w:lang w:val="ro-RO"/>
        </w:rPr>
        <w:t xml:space="preserve"> ziarului</w:t>
      </w:r>
      <w:r w:rsidRPr="00D4433B">
        <w:rPr>
          <w:lang w:val="ro-RO"/>
        </w:rPr>
        <w:t xml:space="preserve">, </w:t>
      </w:r>
      <w:r w:rsidR="00943575" w:rsidRPr="00D4433B">
        <w:rPr>
          <w:lang w:val="ro-RO"/>
        </w:rPr>
        <w:t xml:space="preserve">care era accesibil </w:t>
      </w:r>
      <w:r w:rsidRPr="00D4433B">
        <w:rPr>
          <w:lang w:val="ro-RO"/>
        </w:rPr>
        <w:t>public</w:t>
      </w:r>
      <w:r w:rsidR="00943575" w:rsidRPr="00D4433B">
        <w:rPr>
          <w:lang w:val="ro-RO"/>
        </w:rPr>
        <w:t>ului larg</w:t>
      </w:r>
      <w:r w:rsidRPr="00D4433B">
        <w:rPr>
          <w:lang w:val="ro-RO"/>
        </w:rPr>
        <w:t xml:space="preserve">, </w:t>
      </w:r>
      <w:r w:rsidR="00943575" w:rsidRPr="00D4433B">
        <w:rPr>
          <w:lang w:val="ro-RO"/>
        </w:rPr>
        <w:t xml:space="preserve">echivala cu o nouă </w:t>
      </w:r>
      <w:r w:rsidRPr="00D4433B">
        <w:rPr>
          <w:lang w:val="ro-RO"/>
        </w:rPr>
        <w:t>publica</w:t>
      </w:r>
      <w:r w:rsidR="00943575" w:rsidRPr="00D4433B">
        <w:rPr>
          <w:lang w:val="ro-RO"/>
        </w:rPr>
        <w:t>re a</w:t>
      </w:r>
      <w:r w:rsidRPr="00D4433B">
        <w:rPr>
          <w:lang w:val="ro-RO"/>
        </w:rPr>
        <w:t xml:space="preserve"> </w:t>
      </w:r>
      <w:r w:rsidR="00943575" w:rsidRPr="00D4433B">
        <w:rPr>
          <w:lang w:val="ro-RO"/>
        </w:rPr>
        <w:t xml:space="preserve">respectivului </w:t>
      </w:r>
      <w:r w:rsidRPr="00D4433B">
        <w:rPr>
          <w:lang w:val="ro-RO"/>
        </w:rPr>
        <w:t>artic</w:t>
      </w:r>
      <w:r w:rsidR="00943575" w:rsidRPr="00D4433B">
        <w:rPr>
          <w:lang w:val="ro-RO"/>
        </w:rPr>
        <w:t>ol</w:t>
      </w:r>
      <w:r w:rsidRPr="00D4433B">
        <w:rPr>
          <w:lang w:val="ro-RO"/>
        </w:rPr>
        <w:t xml:space="preserve">. </w:t>
      </w:r>
      <w:r w:rsidR="00943575" w:rsidRPr="00D4433B">
        <w:rPr>
          <w:lang w:val="ro-RO"/>
        </w:rPr>
        <w:t>Principiile t</w:t>
      </w:r>
      <w:r w:rsidRPr="00D4433B">
        <w:rPr>
          <w:lang w:val="ro-RO"/>
        </w:rPr>
        <w:t>radi</w:t>
      </w:r>
      <w:r w:rsidR="00943575" w:rsidRPr="00D4433B">
        <w:rPr>
          <w:lang w:val="ro-RO"/>
        </w:rPr>
        <w:t>ț</w:t>
      </w:r>
      <w:r w:rsidRPr="00D4433B">
        <w:rPr>
          <w:lang w:val="ro-RO"/>
        </w:rPr>
        <w:t>ional</w:t>
      </w:r>
      <w:r w:rsidR="00943575" w:rsidRPr="00D4433B">
        <w:rPr>
          <w:lang w:val="ro-RO"/>
        </w:rPr>
        <w:t>e</w:t>
      </w:r>
      <w:r w:rsidRPr="00D4433B">
        <w:rPr>
          <w:lang w:val="ro-RO"/>
        </w:rPr>
        <w:t xml:space="preserve"> </w:t>
      </w:r>
      <w:r w:rsidR="00943575" w:rsidRPr="00D4433B">
        <w:rPr>
          <w:lang w:val="ro-RO"/>
        </w:rPr>
        <w:t xml:space="preserve">care </w:t>
      </w:r>
      <w:r w:rsidRPr="00D4433B">
        <w:rPr>
          <w:lang w:val="ro-RO"/>
        </w:rPr>
        <w:t>g</w:t>
      </w:r>
      <w:r w:rsidR="00943575" w:rsidRPr="00D4433B">
        <w:rPr>
          <w:lang w:val="ro-RO"/>
        </w:rPr>
        <w:t>u</w:t>
      </w:r>
      <w:r w:rsidRPr="00D4433B">
        <w:rPr>
          <w:lang w:val="ro-RO"/>
        </w:rPr>
        <w:t>vern</w:t>
      </w:r>
      <w:r w:rsidR="00943575" w:rsidRPr="00D4433B">
        <w:rPr>
          <w:lang w:val="ro-RO"/>
        </w:rPr>
        <w:t xml:space="preserve">ează arhivarea diferitelor materiale și </w:t>
      </w:r>
      <w:r w:rsidRPr="00D4433B">
        <w:rPr>
          <w:lang w:val="ro-RO"/>
        </w:rPr>
        <w:t>document</w:t>
      </w:r>
      <w:r w:rsidR="00943575" w:rsidRPr="00D4433B">
        <w:rPr>
          <w:lang w:val="ro-RO"/>
        </w:rPr>
        <w:t>e tipărite aflate în</w:t>
      </w:r>
      <w:r w:rsidRPr="00D4433B">
        <w:rPr>
          <w:lang w:val="ro-RO"/>
        </w:rPr>
        <w:t xml:space="preserve"> </w:t>
      </w:r>
      <w:r w:rsidR="00943575" w:rsidRPr="00D4433B">
        <w:rPr>
          <w:lang w:val="ro-RO"/>
        </w:rPr>
        <w:t xml:space="preserve">arhive </w:t>
      </w:r>
      <w:r w:rsidRPr="00D4433B">
        <w:rPr>
          <w:lang w:val="ro-RO"/>
        </w:rPr>
        <w:t>tradi</w:t>
      </w:r>
      <w:r w:rsidR="00943575" w:rsidRPr="00D4433B">
        <w:rPr>
          <w:lang w:val="ro-RO"/>
        </w:rPr>
        <w:t>ț</w:t>
      </w:r>
      <w:r w:rsidRPr="00D4433B">
        <w:rPr>
          <w:lang w:val="ro-RO"/>
        </w:rPr>
        <w:t>ional</w:t>
      </w:r>
      <w:r w:rsidR="00943575" w:rsidRPr="00D4433B">
        <w:rPr>
          <w:lang w:val="ro-RO"/>
        </w:rPr>
        <w:t xml:space="preserve">e nu erau aceleași cu cele </w:t>
      </w:r>
      <w:r w:rsidRPr="00D4433B">
        <w:rPr>
          <w:lang w:val="ro-RO"/>
        </w:rPr>
        <w:t>aplicab</w:t>
      </w:r>
      <w:r w:rsidR="00943575" w:rsidRPr="00D4433B">
        <w:rPr>
          <w:lang w:val="ro-RO"/>
        </w:rPr>
        <w:t>i</w:t>
      </w:r>
      <w:r w:rsidRPr="00D4433B">
        <w:rPr>
          <w:lang w:val="ro-RO"/>
        </w:rPr>
        <w:t>le oper</w:t>
      </w:r>
      <w:r w:rsidR="00943575" w:rsidRPr="00D4433B">
        <w:rPr>
          <w:lang w:val="ro-RO"/>
        </w:rPr>
        <w:t xml:space="preserve">ării unui </w:t>
      </w:r>
      <w:r w:rsidRPr="00D4433B">
        <w:rPr>
          <w:lang w:val="ro-RO"/>
        </w:rPr>
        <w:t xml:space="preserve">website, </w:t>
      </w:r>
      <w:r w:rsidR="00943575" w:rsidRPr="00D4433B">
        <w:rPr>
          <w:lang w:val="ro-RO"/>
        </w:rPr>
        <w:t xml:space="preserve">indiferent dacă o parte a acestuia este sau nu etichetată ca </w:t>
      </w:r>
      <w:r w:rsidRPr="00D4433B">
        <w:rPr>
          <w:lang w:val="ro-RO"/>
        </w:rPr>
        <w:t>“arhiv</w:t>
      </w:r>
      <w:r w:rsidR="00943575" w:rsidRPr="00D4433B">
        <w:rPr>
          <w:lang w:val="ro-RO"/>
        </w:rPr>
        <w:t>ă</w:t>
      </w:r>
      <w:r w:rsidRPr="00D4433B">
        <w:rPr>
          <w:lang w:val="ro-RO"/>
        </w:rPr>
        <w:t xml:space="preserve">”. </w:t>
      </w:r>
      <w:r w:rsidR="00943575" w:rsidRPr="00D4433B">
        <w:rPr>
          <w:lang w:val="ro-RO"/>
        </w:rPr>
        <w:t xml:space="preserve">Termenul </w:t>
      </w:r>
      <w:r w:rsidRPr="00D4433B">
        <w:rPr>
          <w:lang w:val="ro-RO"/>
        </w:rPr>
        <w:t>“arhiv</w:t>
      </w:r>
      <w:r w:rsidR="00943575" w:rsidRPr="00D4433B">
        <w:rPr>
          <w:lang w:val="ro-RO"/>
        </w:rPr>
        <w:t>ă</w:t>
      </w:r>
      <w:r w:rsidRPr="00D4433B">
        <w:rPr>
          <w:lang w:val="ro-RO"/>
        </w:rPr>
        <w:t xml:space="preserve">” </w:t>
      </w:r>
      <w:r w:rsidR="00943575" w:rsidRPr="00D4433B">
        <w:rPr>
          <w:lang w:val="ro-RO"/>
        </w:rPr>
        <w:t xml:space="preserve">trebuia interpretat ca un </w:t>
      </w:r>
      <w:r w:rsidRPr="00D4433B">
        <w:rPr>
          <w:lang w:val="ro-RO"/>
        </w:rPr>
        <w:t xml:space="preserve">set </w:t>
      </w:r>
      <w:r w:rsidR="00943575" w:rsidRPr="00D4433B">
        <w:rPr>
          <w:lang w:val="ro-RO"/>
        </w:rPr>
        <w:t xml:space="preserve">de </w:t>
      </w:r>
      <w:r w:rsidRPr="00D4433B">
        <w:rPr>
          <w:lang w:val="ro-RO"/>
        </w:rPr>
        <w:t>document</w:t>
      </w:r>
      <w:r w:rsidR="00943575" w:rsidRPr="00D4433B">
        <w:rPr>
          <w:lang w:val="ro-RO"/>
        </w:rPr>
        <w:t>e</w:t>
      </w:r>
      <w:r w:rsidRPr="00D4433B">
        <w:rPr>
          <w:lang w:val="ro-RO"/>
        </w:rPr>
        <w:t xml:space="preserve"> </w:t>
      </w:r>
      <w:r w:rsidR="00943575" w:rsidRPr="00D4433B">
        <w:rPr>
          <w:lang w:val="ro-RO"/>
        </w:rPr>
        <w:t xml:space="preserve">care </w:t>
      </w:r>
      <w:r w:rsidR="00177FA0" w:rsidRPr="00D4433B">
        <w:rPr>
          <w:lang w:val="ro-RO"/>
        </w:rPr>
        <w:t>nu mai sunt de actualitate</w:t>
      </w:r>
      <w:r w:rsidRPr="00D4433B">
        <w:rPr>
          <w:lang w:val="ro-RO"/>
        </w:rPr>
        <w:t>. Internet</w:t>
      </w:r>
      <w:r w:rsidR="00177FA0" w:rsidRPr="00D4433B">
        <w:rPr>
          <w:lang w:val="ro-RO"/>
        </w:rPr>
        <w:t>ul</w:t>
      </w:r>
      <w:r w:rsidRPr="00D4433B">
        <w:rPr>
          <w:lang w:val="ro-RO"/>
        </w:rPr>
        <w:t xml:space="preserve"> </w:t>
      </w:r>
      <w:r w:rsidR="00177FA0" w:rsidRPr="00D4433B">
        <w:rPr>
          <w:lang w:val="ro-RO"/>
        </w:rPr>
        <w:t xml:space="preserve">nu era un </w:t>
      </w:r>
      <w:r w:rsidRPr="00D4433B">
        <w:rPr>
          <w:lang w:val="ro-RO"/>
        </w:rPr>
        <w:t xml:space="preserve">instrument </w:t>
      </w:r>
      <w:r w:rsidR="00177FA0" w:rsidRPr="00D4433B">
        <w:rPr>
          <w:lang w:val="ro-RO"/>
        </w:rPr>
        <w:t xml:space="preserve">pentru arhivarea </w:t>
      </w:r>
      <w:r w:rsidRPr="00D4433B">
        <w:rPr>
          <w:lang w:val="ro-RO"/>
        </w:rPr>
        <w:t>material</w:t>
      </w:r>
      <w:r w:rsidR="00177FA0" w:rsidRPr="00D4433B">
        <w:rPr>
          <w:lang w:val="ro-RO"/>
        </w:rPr>
        <w:t>elor</w:t>
      </w:r>
      <w:r w:rsidRPr="00D4433B">
        <w:rPr>
          <w:lang w:val="ro-RO"/>
        </w:rPr>
        <w:t xml:space="preserve">, </w:t>
      </w:r>
      <w:r w:rsidR="00177FA0" w:rsidRPr="00D4433B">
        <w:rPr>
          <w:lang w:val="ro-RO"/>
        </w:rPr>
        <w:t>însă trebuia pr</w:t>
      </w:r>
      <w:r w:rsidR="00EA4948" w:rsidRPr="00D4433B">
        <w:rPr>
          <w:lang w:val="ro-RO"/>
        </w:rPr>
        <w:t>i</w:t>
      </w:r>
      <w:r w:rsidR="00177FA0" w:rsidRPr="00D4433B">
        <w:rPr>
          <w:lang w:val="ro-RO"/>
        </w:rPr>
        <w:t xml:space="preserve">vit ca un mijloc de comunicare al </w:t>
      </w:r>
      <w:r w:rsidRPr="00D4433B">
        <w:rPr>
          <w:lang w:val="ro-RO"/>
        </w:rPr>
        <w:t>informa</w:t>
      </w:r>
      <w:r w:rsidR="00177FA0" w:rsidRPr="00D4433B">
        <w:rPr>
          <w:lang w:val="ro-RO"/>
        </w:rPr>
        <w:t>țiilor pe subiecte actuale</w:t>
      </w:r>
      <w:r w:rsidRPr="00D4433B">
        <w:rPr>
          <w:lang w:val="ro-RO"/>
        </w:rPr>
        <w:t xml:space="preserve">. </w:t>
      </w:r>
      <w:r w:rsidR="00EA4948" w:rsidRPr="00D4433B">
        <w:rPr>
          <w:lang w:val="ro-RO"/>
        </w:rPr>
        <w:t xml:space="preserve">Simplul fapt că o </w:t>
      </w:r>
      <w:r w:rsidRPr="00D4433B">
        <w:rPr>
          <w:lang w:val="ro-RO"/>
        </w:rPr>
        <w:t>part</w:t>
      </w:r>
      <w:r w:rsidR="00EA4948" w:rsidRPr="00D4433B">
        <w:rPr>
          <w:lang w:val="ro-RO"/>
        </w:rPr>
        <w:t>e</w:t>
      </w:r>
      <w:r w:rsidRPr="00D4433B">
        <w:rPr>
          <w:lang w:val="ro-RO"/>
        </w:rPr>
        <w:t xml:space="preserve"> </w:t>
      </w:r>
      <w:r w:rsidR="00EA4948" w:rsidRPr="00D4433B">
        <w:rPr>
          <w:lang w:val="ro-RO"/>
        </w:rPr>
        <w:t xml:space="preserve">dintr-un </w:t>
      </w:r>
      <w:r w:rsidRPr="00D4433B">
        <w:rPr>
          <w:lang w:val="ro-RO"/>
        </w:rPr>
        <w:t xml:space="preserve">website </w:t>
      </w:r>
      <w:r w:rsidR="00EA4948" w:rsidRPr="00D4433B">
        <w:rPr>
          <w:lang w:val="ro-RO"/>
        </w:rPr>
        <w:t xml:space="preserve">a fost numită </w:t>
      </w:r>
      <w:r w:rsidRPr="00D4433B">
        <w:rPr>
          <w:lang w:val="ro-RO"/>
        </w:rPr>
        <w:t>“arhiv</w:t>
      </w:r>
      <w:r w:rsidR="00EA4948" w:rsidRPr="00D4433B">
        <w:rPr>
          <w:lang w:val="ro-RO"/>
        </w:rPr>
        <w:t>ă</w:t>
      </w:r>
      <w:r w:rsidRPr="00D4433B">
        <w:rPr>
          <w:lang w:val="ro-RO"/>
        </w:rPr>
        <w:t xml:space="preserve">” </w:t>
      </w:r>
      <w:r w:rsidR="00EA4948" w:rsidRPr="00D4433B">
        <w:rPr>
          <w:lang w:val="ro-RO"/>
        </w:rPr>
        <w:t xml:space="preserve">nu a </w:t>
      </w:r>
      <w:r w:rsidRPr="00D4433B">
        <w:rPr>
          <w:lang w:val="ro-RO"/>
        </w:rPr>
        <w:t>afect</w:t>
      </w:r>
      <w:r w:rsidR="00EA4948" w:rsidRPr="00D4433B">
        <w:rPr>
          <w:lang w:val="ro-RO"/>
        </w:rPr>
        <w:t>at</w:t>
      </w:r>
      <w:r w:rsidRPr="00D4433B">
        <w:rPr>
          <w:lang w:val="ro-RO"/>
        </w:rPr>
        <w:t xml:space="preserve"> </w:t>
      </w:r>
      <w:r w:rsidR="00EA4948" w:rsidRPr="00D4433B">
        <w:rPr>
          <w:lang w:val="ro-RO"/>
        </w:rPr>
        <w:t>nicicum acest lucru</w:t>
      </w:r>
      <w:r w:rsidRPr="00D4433B">
        <w:rPr>
          <w:lang w:val="ro-RO"/>
        </w:rPr>
        <w:t>.</w:t>
      </w:r>
    </w:p>
    <w:p w14:paraId="2787103B" w14:textId="1B625503" w:rsidR="003F243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15</w:t>
      </w:r>
      <w:r w:rsidRPr="00D4433B">
        <w:rPr>
          <w:lang w:val="ro-RO"/>
        </w:rPr>
        <w:fldChar w:fldCharType="end"/>
      </w:r>
      <w:r w:rsidRPr="00D4433B">
        <w:rPr>
          <w:lang w:val="ro-RO"/>
        </w:rPr>
        <w:t>.  </w:t>
      </w:r>
      <w:r w:rsidR="003F2431" w:rsidRPr="00D4433B">
        <w:rPr>
          <w:lang w:val="ro-RO"/>
        </w:rPr>
        <w:t xml:space="preserve">În măsura în care prima instanță a fost de părere că publicarea unei scuze tipărite ar fi fost, în circumstanțele prezentei cauze, lipsite de orice scop practic, reclamanții au susținut că în temeiul </w:t>
      </w:r>
      <w:r w:rsidR="00D4433B" w:rsidRPr="00D4433B">
        <w:rPr>
          <w:lang w:val="ro-RO"/>
        </w:rPr>
        <w:t>A</w:t>
      </w:r>
      <w:r w:rsidR="003F2431" w:rsidRPr="00D4433B">
        <w:rPr>
          <w:lang w:val="ro-RO"/>
        </w:rPr>
        <w:t>rticolului 24 din Codul civil această instanță fusese deschisă să dispună alte măsuri pentru remedierea încălcării drepturilor lor. Articolul 24 prevedea că, pentru a remedia o încălcare a drepturilor personale, ar putea fi luate „măsurile necesare”, dar nu a specificat natura concretă a acestor măsuri. Curtea a recunoscut fără echivoc că articolul contestat le-a încălcat drepturile. Cu toate acestea, s-a limitat la respingerea cererii. Nu a luat în considerare, contrar obligației sale, alte măsuri de remediere, inclusiv cele la care se referise în mod expres în hotărârea sa.</w:t>
      </w:r>
    </w:p>
    <w:p w14:paraId="023ADCF3" w14:textId="6A5689E1"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16</w:t>
      </w:r>
      <w:r w:rsidRPr="00D4433B">
        <w:rPr>
          <w:lang w:val="ro-RO"/>
        </w:rPr>
        <w:fldChar w:fldCharType="end"/>
      </w:r>
      <w:r w:rsidRPr="00D4433B">
        <w:rPr>
          <w:lang w:val="ro-RO"/>
        </w:rPr>
        <w:t>.  </w:t>
      </w:r>
      <w:r w:rsidR="00AE5214" w:rsidRPr="00D4433B">
        <w:rPr>
          <w:lang w:val="ro-RO"/>
        </w:rPr>
        <w:t xml:space="preserve">La 20 iulie 2006, Curtea de Apel din Varșovia a respins apelul. A fost de părere că pentru evaluarea cazului era de o importanță cardinală faptul că articolul fusese publicat pe site-ul web al ziarului în decembrie 2000. Curtea a reținut că reclamanții au susținut că au aflat de publicația sa online doar la un an după ce hotărârea pronunțată în aprilie 2003 devenise definitivă. Cu toate acestea, faptul că în prima serie de proceduri aceștia nu au depus o cerere specifică de măsuri reparatorii în ceea ce privește publicația online a făcut imposibil ca instanța din prezenta cauză să examineze faptele care au existat deja înainte de hotărârea respectivă. Reclamanții nu au putut depune o nouă cerere pe baza unor circumstanțe de fapt care au existat deja în cursul </w:t>
      </w:r>
      <w:r w:rsidR="00AE5214" w:rsidRPr="00D4433B">
        <w:rPr>
          <w:lang w:val="ro-RO"/>
        </w:rPr>
        <w:lastRenderedPageBreak/>
        <w:t xml:space="preserve">procesului anterior. Instanța a notat în treacăt că publicația online existentă nu era un fapt care ar fi fost imposibil de stabilit în acel moment </w:t>
      </w:r>
      <w:r w:rsidRPr="00D4433B">
        <w:rPr>
          <w:lang w:val="ro-RO"/>
        </w:rPr>
        <w:t>(“</w:t>
      </w:r>
      <w:proofErr w:type="spellStart"/>
      <w:r w:rsidRPr="00D4433B">
        <w:rPr>
          <w:i/>
          <w:lang w:val="ro-RO"/>
        </w:rPr>
        <w:t>nie</w:t>
      </w:r>
      <w:proofErr w:type="spellEnd"/>
      <w:r w:rsidRPr="00D4433B">
        <w:rPr>
          <w:i/>
          <w:lang w:val="ro-RO"/>
        </w:rPr>
        <w:t xml:space="preserve"> </w:t>
      </w:r>
      <w:proofErr w:type="spellStart"/>
      <w:r w:rsidRPr="00D4433B">
        <w:rPr>
          <w:i/>
          <w:lang w:val="ro-RO"/>
        </w:rPr>
        <w:t>była</w:t>
      </w:r>
      <w:proofErr w:type="spellEnd"/>
      <w:r w:rsidRPr="00D4433B">
        <w:rPr>
          <w:i/>
          <w:lang w:val="ro-RO"/>
        </w:rPr>
        <w:t xml:space="preserve"> </w:t>
      </w:r>
      <w:proofErr w:type="spellStart"/>
      <w:r w:rsidRPr="00D4433B">
        <w:rPr>
          <w:i/>
          <w:lang w:val="ro-RO"/>
        </w:rPr>
        <w:t>to</w:t>
      </w:r>
      <w:proofErr w:type="spellEnd"/>
      <w:r w:rsidRPr="00D4433B">
        <w:rPr>
          <w:i/>
          <w:lang w:val="ro-RO"/>
        </w:rPr>
        <w:t xml:space="preserve"> </w:t>
      </w:r>
      <w:proofErr w:type="spellStart"/>
      <w:r w:rsidRPr="00D4433B">
        <w:rPr>
          <w:i/>
          <w:lang w:val="ro-RO"/>
        </w:rPr>
        <w:t>tzw</w:t>
      </w:r>
      <w:proofErr w:type="spellEnd"/>
      <w:r w:rsidRPr="00D4433B">
        <w:rPr>
          <w:i/>
          <w:lang w:val="ro-RO"/>
        </w:rPr>
        <w:t xml:space="preserve">. </w:t>
      </w:r>
      <w:proofErr w:type="spellStart"/>
      <w:r w:rsidRPr="00D4433B">
        <w:rPr>
          <w:i/>
          <w:lang w:val="ro-RO"/>
        </w:rPr>
        <w:t>okoliczność</w:t>
      </w:r>
      <w:proofErr w:type="spellEnd"/>
      <w:r w:rsidRPr="00D4433B">
        <w:rPr>
          <w:i/>
          <w:lang w:val="ro-RO"/>
        </w:rPr>
        <w:t xml:space="preserve"> </w:t>
      </w:r>
      <w:proofErr w:type="spellStart"/>
      <w:r w:rsidRPr="00D4433B">
        <w:rPr>
          <w:i/>
          <w:lang w:val="ro-RO"/>
        </w:rPr>
        <w:t>nieujawnialna</w:t>
      </w:r>
      <w:proofErr w:type="spellEnd"/>
      <w:r w:rsidRPr="00D4433B">
        <w:rPr>
          <w:lang w:val="ro-RO"/>
        </w:rPr>
        <w:t>”).</w:t>
      </w:r>
    </w:p>
    <w:p w14:paraId="273B06E8" w14:textId="20FE3EBE"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17</w:t>
      </w:r>
      <w:r w:rsidRPr="00D4433B">
        <w:rPr>
          <w:lang w:val="ro-RO"/>
        </w:rPr>
        <w:fldChar w:fldCharType="end"/>
      </w:r>
      <w:r w:rsidRPr="00D4433B">
        <w:rPr>
          <w:lang w:val="ro-RO"/>
        </w:rPr>
        <w:t>.  </w:t>
      </w:r>
      <w:r w:rsidR="00AE5214" w:rsidRPr="00D4433B">
        <w:rPr>
          <w:lang w:val="ro-RO"/>
        </w:rPr>
        <w:t>Reclamanții au depus un apel pe motive de drept, invocând dreptul lor la protecția juridică efectivă a drepturilor lor personale, inclusiv a reputației lor. Ei au reiterat faptul că disponibilitatea continuă a articolului pe site-ul web al ziarului le-a încălcat drepturile personale.</w:t>
      </w:r>
    </w:p>
    <w:p w14:paraId="1E84C7B4" w14:textId="021D1247"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18</w:t>
      </w:r>
      <w:r w:rsidRPr="00D4433B">
        <w:rPr>
          <w:lang w:val="ro-RO"/>
        </w:rPr>
        <w:fldChar w:fldCharType="end"/>
      </w:r>
      <w:r w:rsidRPr="00D4433B">
        <w:rPr>
          <w:lang w:val="ro-RO"/>
        </w:rPr>
        <w:t>.  </w:t>
      </w:r>
      <w:r w:rsidR="00AE5214" w:rsidRPr="00D4433B">
        <w:rPr>
          <w:lang w:val="ro-RO"/>
        </w:rPr>
        <w:t xml:space="preserve">La 3 noiembrie 2006, Curtea de Apel din Varșovia a solicitat reprezentantului legal al reclamanților să modifice deficiențele </w:t>
      </w:r>
      <w:r w:rsidR="00833E9B" w:rsidRPr="00D4433B">
        <w:rPr>
          <w:lang w:val="ro-RO"/>
        </w:rPr>
        <w:t xml:space="preserve">de </w:t>
      </w:r>
      <w:r w:rsidR="00AE5214" w:rsidRPr="00D4433B">
        <w:rPr>
          <w:lang w:val="ro-RO"/>
        </w:rPr>
        <w:t>form</w:t>
      </w:r>
      <w:r w:rsidR="00833E9B" w:rsidRPr="00D4433B">
        <w:rPr>
          <w:lang w:val="ro-RO"/>
        </w:rPr>
        <w:t xml:space="preserve">ă </w:t>
      </w:r>
      <w:r w:rsidR="00AE5214" w:rsidRPr="00D4433B">
        <w:rPr>
          <w:lang w:val="ro-RO"/>
        </w:rPr>
        <w:t xml:space="preserve">ale </w:t>
      </w:r>
      <w:r w:rsidR="00833E9B" w:rsidRPr="00D4433B">
        <w:rPr>
          <w:lang w:val="ro-RO"/>
        </w:rPr>
        <w:t>cererii</w:t>
      </w:r>
      <w:r w:rsidR="00AE5214" w:rsidRPr="00D4433B">
        <w:rPr>
          <w:lang w:val="ro-RO"/>
        </w:rPr>
        <w:t xml:space="preserve"> de apel specificând dacă a fost depusă în numele unuia sau ambilor solicitanți. Ace</w:t>
      </w:r>
      <w:r w:rsidR="00833E9B" w:rsidRPr="00D4433B">
        <w:rPr>
          <w:lang w:val="ro-RO"/>
        </w:rPr>
        <w:t>a</w:t>
      </w:r>
      <w:r w:rsidR="00AE5214" w:rsidRPr="00D4433B">
        <w:rPr>
          <w:lang w:val="ro-RO"/>
        </w:rPr>
        <w:t>sta a menționat că taxa judiciară plătită în legătură cu contestația corespundea cu suma care trebuie plătită pentru o contestație depusă de o singură persoană.</w:t>
      </w:r>
    </w:p>
    <w:p w14:paraId="66EE1191" w14:textId="35E29EEA"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19</w:t>
      </w:r>
      <w:r w:rsidRPr="00D4433B">
        <w:rPr>
          <w:lang w:val="ro-RO"/>
        </w:rPr>
        <w:fldChar w:fldCharType="end"/>
      </w:r>
      <w:r w:rsidRPr="00D4433B">
        <w:rPr>
          <w:lang w:val="ro-RO"/>
        </w:rPr>
        <w:t>.  </w:t>
      </w:r>
      <w:r w:rsidR="00833E9B" w:rsidRPr="00D4433B">
        <w:rPr>
          <w:lang w:val="ro-RO"/>
        </w:rPr>
        <w:t xml:space="preserve">Prin scrisoare din </w:t>
      </w:r>
      <w:r w:rsidRPr="00D4433B">
        <w:rPr>
          <w:lang w:val="ro-RO"/>
        </w:rPr>
        <w:t xml:space="preserve">10 </w:t>
      </w:r>
      <w:r w:rsidR="00833E9B" w:rsidRPr="00D4433B">
        <w:rPr>
          <w:lang w:val="ro-RO"/>
        </w:rPr>
        <w:t>n</w:t>
      </w:r>
      <w:r w:rsidRPr="00D4433B">
        <w:rPr>
          <w:lang w:val="ro-RO"/>
        </w:rPr>
        <w:t>o</w:t>
      </w:r>
      <w:r w:rsidR="00833E9B" w:rsidRPr="00D4433B">
        <w:rPr>
          <w:lang w:val="ro-RO"/>
        </w:rPr>
        <w:t>i</w:t>
      </w:r>
      <w:r w:rsidRPr="00D4433B">
        <w:rPr>
          <w:lang w:val="ro-RO"/>
        </w:rPr>
        <w:t>embr</w:t>
      </w:r>
      <w:r w:rsidR="00833E9B" w:rsidRPr="00D4433B">
        <w:rPr>
          <w:lang w:val="ro-RO"/>
        </w:rPr>
        <w:t>ie</w:t>
      </w:r>
      <w:r w:rsidRPr="00D4433B">
        <w:rPr>
          <w:lang w:val="ro-RO"/>
        </w:rPr>
        <w:t xml:space="preserve"> </w:t>
      </w:r>
      <w:r w:rsidR="00833E9B" w:rsidRPr="00D4433B">
        <w:rPr>
          <w:lang w:val="ro-RO"/>
        </w:rPr>
        <w:t xml:space="preserve">avocatul reclamanților a </w:t>
      </w:r>
      <w:r w:rsidRPr="00D4433B">
        <w:rPr>
          <w:lang w:val="ro-RO"/>
        </w:rPr>
        <w:t>clarifi</w:t>
      </w:r>
      <w:r w:rsidR="00833E9B" w:rsidRPr="00D4433B">
        <w:rPr>
          <w:lang w:val="ro-RO"/>
        </w:rPr>
        <w:t xml:space="preserve">cat acest aspect indicând că apelul fusese introdus de către al doilea reclamant, Dl. </w:t>
      </w:r>
      <w:proofErr w:type="spellStart"/>
      <w:r w:rsidRPr="00D4433B">
        <w:rPr>
          <w:lang w:val="ro-RO"/>
        </w:rPr>
        <w:t>Smolczewski</w:t>
      </w:r>
      <w:proofErr w:type="spellEnd"/>
      <w:r w:rsidRPr="00D4433B">
        <w:rPr>
          <w:lang w:val="ro-RO"/>
        </w:rPr>
        <w:t>.</w:t>
      </w:r>
    </w:p>
    <w:p w14:paraId="50708702" w14:textId="0CE2A273" w:rsidR="00833E9B" w:rsidRPr="00D4433B" w:rsidRDefault="006D0621" w:rsidP="00833E9B">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20</w:t>
      </w:r>
      <w:r w:rsidRPr="00D4433B">
        <w:rPr>
          <w:lang w:val="ro-RO"/>
        </w:rPr>
        <w:fldChar w:fldCharType="end"/>
      </w:r>
      <w:r w:rsidRPr="00D4433B">
        <w:rPr>
          <w:lang w:val="ro-RO"/>
        </w:rPr>
        <w:t>.  </w:t>
      </w:r>
      <w:r w:rsidR="00833E9B" w:rsidRPr="00D4433B">
        <w:rPr>
          <w:lang w:val="ro-RO"/>
        </w:rPr>
        <w:t>La 17 noiembrie 2006, Curtea de Apel din Varșovia a respins apelul în măsura în care se referea la primul reclamant, având în vedere faptul că taxa judiciară relevantă nu a fost plătită. Această decizie a fost comunicată avocatului reclamanților la 4 decembrie 2006. Nu a fost formulată nici o cale de atac împotriva acestei decizii.</w:t>
      </w:r>
    </w:p>
    <w:p w14:paraId="5BA4F0AD" w14:textId="1E5EBDA9" w:rsidR="0090070F" w:rsidRPr="00D4433B" w:rsidRDefault="00833E9B" w:rsidP="00833E9B">
      <w:pPr>
        <w:pStyle w:val="JuPara"/>
        <w:rPr>
          <w:lang w:val="ro-RO"/>
        </w:rPr>
      </w:pPr>
      <w:r w:rsidRPr="00D4433B">
        <w:rPr>
          <w:lang w:val="ro-RO"/>
        </w:rPr>
        <w:t xml:space="preserve">21. Printr-o decizie din 7 februarie 2007, Curtea Supremă, întrunită în cameră, a refuzat să primească apelul de casare al primului reclamant </w:t>
      </w:r>
      <w:r w:rsidR="006D0621" w:rsidRPr="00D4433B">
        <w:rPr>
          <w:lang w:val="ro-RO"/>
        </w:rPr>
        <w:t>(</w:t>
      </w:r>
      <w:proofErr w:type="spellStart"/>
      <w:r w:rsidR="006D0621" w:rsidRPr="00D4433B">
        <w:rPr>
          <w:i/>
          <w:lang w:val="ro-RO"/>
        </w:rPr>
        <w:t>odmówił</w:t>
      </w:r>
      <w:proofErr w:type="spellEnd"/>
      <w:r w:rsidR="006D0621" w:rsidRPr="00D4433B">
        <w:rPr>
          <w:i/>
          <w:lang w:val="ro-RO"/>
        </w:rPr>
        <w:t xml:space="preserve"> </w:t>
      </w:r>
      <w:proofErr w:type="spellStart"/>
      <w:r w:rsidR="006D0621" w:rsidRPr="00D4433B">
        <w:rPr>
          <w:i/>
          <w:lang w:val="ro-RO"/>
        </w:rPr>
        <w:t>przyjęcia</w:t>
      </w:r>
      <w:proofErr w:type="spellEnd"/>
      <w:r w:rsidR="006D0621" w:rsidRPr="00D4433B">
        <w:rPr>
          <w:i/>
          <w:lang w:val="ro-RO"/>
        </w:rPr>
        <w:t xml:space="preserve"> </w:t>
      </w:r>
      <w:proofErr w:type="spellStart"/>
      <w:r w:rsidR="006D0621" w:rsidRPr="00D4433B">
        <w:rPr>
          <w:i/>
          <w:lang w:val="ro-RO"/>
        </w:rPr>
        <w:t>kasacji</w:t>
      </w:r>
      <w:proofErr w:type="spellEnd"/>
      <w:r w:rsidR="006D0621" w:rsidRPr="00D4433B">
        <w:rPr>
          <w:i/>
          <w:lang w:val="ro-RO"/>
        </w:rPr>
        <w:t xml:space="preserve"> do </w:t>
      </w:r>
      <w:proofErr w:type="spellStart"/>
      <w:r w:rsidR="006D0621" w:rsidRPr="00D4433B">
        <w:rPr>
          <w:i/>
          <w:lang w:val="ro-RO"/>
        </w:rPr>
        <w:t>rozpoznania</w:t>
      </w:r>
      <w:proofErr w:type="spellEnd"/>
      <w:r w:rsidR="006D0621" w:rsidRPr="00D4433B">
        <w:rPr>
          <w:lang w:val="ro-RO"/>
        </w:rPr>
        <w:t>).</w:t>
      </w:r>
    </w:p>
    <w:p w14:paraId="61B1F87C" w14:textId="110D7E96" w:rsidR="006D0621" w:rsidRPr="00D4433B" w:rsidRDefault="006D0621" w:rsidP="006D0621">
      <w:pPr>
        <w:pStyle w:val="JuHIRoman"/>
        <w:outlineLvl w:val="0"/>
        <w:rPr>
          <w:lang w:val="ro-RO"/>
        </w:rPr>
      </w:pPr>
      <w:r w:rsidRPr="00D4433B">
        <w:rPr>
          <w:lang w:val="ro-RO"/>
        </w:rPr>
        <w:t>II.  </w:t>
      </w:r>
      <w:r w:rsidR="00833E9B" w:rsidRPr="00D4433B">
        <w:rPr>
          <w:lang w:val="ro-RO"/>
        </w:rPr>
        <w:t xml:space="preserve">DREPTUL NAȚIONAL ȘI PRACTICA </w:t>
      </w:r>
      <w:r w:rsidRPr="00D4433B">
        <w:rPr>
          <w:lang w:val="ro-RO"/>
        </w:rPr>
        <w:t>RELEVANT</w:t>
      </w:r>
      <w:r w:rsidR="00833E9B" w:rsidRPr="00D4433B">
        <w:rPr>
          <w:lang w:val="ro-RO"/>
        </w:rPr>
        <w:t>Ă</w:t>
      </w:r>
      <w:r w:rsidRPr="00D4433B">
        <w:rPr>
          <w:lang w:val="ro-RO"/>
        </w:rPr>
        <w:t xml:space="preserve"> </w:t>
      </w:r>
    </w:p>
    <w:p w14:paraId="03968C82" w14:textId="794278E0"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22</w:t>
      </w:r>
      <w:r w:rsidRPr="00D4433B">
        <w:rPr>
          <w:lang w:val="ro-RO"/>
        </w:rPr>
        <w:fldChar w:fldCharType="end"/>
      </w:r>
      <w:r w:rsidRPr="00D4433B">
        <w:rPr>
          <w:lang w:val="ro-RO"/>
        </w:rPr>
        <w:t>.  </w:t>
      </w:r>
      <w:r w:rsidRPr="00D4433B">
        <w:rPr>
          <w:rStyle w:val="wordhighlightedcurrentterm"/>
          <w:lang w:val="ro-RO"/>
        </w:rPr>
        <w:t>Artic</w:t>
      </w:r>
      <w:r w:rsidR="00833E9B" w:rsidRPr="00D4433B">
        <w:rPr>
          <w:rStyle w:val="wordhighlightedcurrentterm"/>
          <w:lang w:val="ro-RO"/>
        </w:rPr>
        <w:t>olul</w:t>
      </w:r>
      <w:r w:rsidRPr="00D4433B">
        <w:rPr>
          <w:rStyle w:val="wordhighlightedcurrentterm"/>
          <w:lang w:val="ro-RO"/>
        </w:rPr>
        <w:t xml:space="preserve"> 23</w:t>
      </w:r>
      <w:r w:rsidRPr="00D4433B">
        <w:rPr>
          <w:rStyle w:val="sb8d990e2"/>
          <w:lang w:val="ro-RO"/>
        </w:rPr>
        <w:t xml:space="preserve"> </w:t>
      </w:r>
      <w:r w:rsidR="00833E9B" w:rsidRPr="00D4433B">
        <w:rPr>
          <w:rStyle w:val="sb8d990e2"/>
          <w:lang w:val="ro-RO"/>
        </w:rPr>
        <w:t xml:space="preserve">din Codul </w:t>
      </w:r>
      <w:r w:rsidRPr="00D4433B">
        <w:rPr>
          <w:rStyle w:val="sb8d990e2"/>
          <w:lang w:val="ro-RO"/>
        </w:rPr>
        <w:t>Civil con</w:t>
      </w:r>
      <w:r w:rsidR="00833E9B" w:rsidRPr="00D4433B">
        <w:rPr>
          <w:rStyle w:val="sb8d990e2"/>
          <w:lang w:val="ro-RO"/>
        </w:rPr>
        <w:t xml:space="preserve">ține o listă </w:t>
      </w:r>
      <w:r w:rsidRPr="00D4433B">
        <w:rPr>
          <w:rStyle w:val="sb8d990e2"/>
          <w:lang w:val="ro-RO"/>
        </w:rPr>
        <w:t>non-exhaustiv</w:t>
      </w:r>
      <w:r w:rsidR="00833E9B" w:rsidRPr="00D4433B">
        <w:rPr>
          <w:rStyle w:val="sb8d990e2"/>
          <w:lang w:val="ro-RO"/>
        </w:rPr>
        <w:t>ă</w:t>
      </w:r>
      <w:r w:rsidRPr="00D4433B">
        <w:rPr>
          <w:rStyle w:val="sb8d990e2"/>
          <w:lang w:val="ro-RO"/>
        </w:rPr>
        <w:t xml:space="preserve"> </w:t>
      </w:r>
      <w:r w:rsidR="00833E9B" w:rsidRPr="00D4433B">
        <w:rPr>
          <w:rStyle w:val="sb8d990e2"/>
          <w:lang w:val="ro-RO"/>
        </w:rPr>
        <w:t xml:space="preserve">a </w:t>
      </w:r>
      <w:r w:rsidRPr="00D4433B">
        <w:rPr>
          <w:rStyle w:val="sb8d990e2"/>
          <w:lang w:val="ro-RO"/>
        </w:rPr>
        <w:t>“</w:t>
      </w:r>
      <w:bookmarkStart w:id="1" w:name="_1000004"/>
      <w:bookmarkEnd w:id="1"/>
      <w:r w:rsidR="00833E9B" w:rsidRPr="00D4433B">
        <w:rPr>
          <w:rStyle w:val="sb8d990e2"/>
          <w:lang w:val="ro-RO"/>
        </w:rPr>
        <w:t xml:space="preserve">drepturilor </w:t>
      </w:r>
      <w:r w:rsidRPr="00D4433B">
        <w:rPr>
          <w:rStyle w:val="sb8d990e2"/>
          <w:lang w:val="ro-RO"/>
        </w:rPr>
        <w:t>personal</w:t>
      </w:r>
      <w:r w:rsidR="00833E9B" w:rsidRPr="00D4433B">
        <w:rPr>
          <w:rStyle w:val="sb8d990e2"/>
          <w:lang w:val="ro-RO"/>
        </w:rPr>
        <w:t>e</w:t>
      </w:r>
      <w:r w:rsidRPr="00D4433B">
        <w:rPr>
          <w:rStyle w:val="sb8d990e2"/>
          <w:lang w:val="ro-RO"/>
        </w:rPr>
        <w:t>” (</w:t>
      </w:r>
      <w:proofErr w:type="spellStart"/>
      <w:r w:rsidRPr="00D4433B">
        <w:rPr>
          <w:rStyle w:val="s6b621b36"/>
          <w:i/>
          <w:lang w:val="ro-RO"/>
        </w:rPr>
        <w:t>dobra</w:t>
      </w:r>
      <w:proofErr w:type="spellEnd"/>
      <w:r w:rsidRPr="00D4433B">
        <w:rPr>
          <w:rStyle w:val="s6b621b36"/>
          <w:i/>
          <w:lang w:val="ro-RO"/>
        </w:rPr>
        <w:t xml:space="preserve"> </w:t>
      </w:r>
      <w:proofErr w:type="spellStart"/>
      <w:r w:rsidRPr="00D4433B">
        <w:rPr>
          <w:rStyle w:val="s6b621b36"/>
          <w:i/>
          <w:lang w:val="ro-RO"/>
        </w:rPr>
        <w:t>osobiste</w:t>
      </w:r>
      <w:proofErr w:type="spellEnd"/>
      <w:r w:rsidRPr="00D4433B">
        <w:rPr>
          <w:rStyle w:val="sb8d990e2"/>
          <w:lang w:val="ro-RO"/>
        </w:rPr>
        <w:t xml:space="preserve">). </w:t>
      </w:r>
      <w:r w:rsidR="00833E9B" w:rsidRPr="00D4433B">
        <w:rPr>
          <w:rStyle w:val="sb8d990e2"/>
          <w:lang w:val="ro-RO"/>
        </w:rPr>
        <w:t>Acesta prevede după cum urmează</w:t>
      </w:r>
      <w:r w:rsidRPr="00D4433B">
        <w:rPr>
          <w:rStyle w:val="sb8d990e2"/>
          <w:lang w:val="ro-RO"/>
        </w:rPr>
        <w:t>:</w:t>
      </w:r>
    </w:p>
    <w:p w14:paraId="41991A70" w14:textId="185AEEE0" w:rsidR="006D0621" w:rsidRPr="00D4433B" w:rsidRDefault="006D0621" w:rsidP="006D0621">
      <w:pPr>
        <w:pStyle w:val="JuQuot"/>
        <w:rPr>
          <w:lang w:val="ro-RO"/>
        </w:rPr>
      </w:pPr>
      <w:r w:rsidRPr="00D4433B">
        <w:rPr>
          <w:rStyle w:val="sfbbfee58"/>
          <w:lang w:val="ro-RO"/>
        </w:rPr>
        <w:t>“</w:t>
      </w:r>
      <w:r w:rsidR="00833E9B" w:rsidRPr="00D4433B">
        <w:rPr>
          <w:rStyle w:val="sfbbfee58"/>
          <w:lang w:val="ro-RO"/>
        </w:rPr>
        <w:t>Drepturile personale ale unei persoane, cum ar fi, în special, sănătatea, libertatea, libertatea conștiinței, numele sau pseudonimul, imaginea, secretul corespondenței, inviolabilitatea casei, lucrările științifice sau artistice [] invențiile și îmbunătățirile, vor fi protejate de legea civilă indiferent de protecția prevăzută în alte dispoziții legale</w:t>
      </w:r>
      <w:r w:rsidRPr="00D4433B">
        <w:rPr>
          <w:rStyle w:val="sfbbfee58"/>
          <w:lang w:val="ro-RO"/>
        </w:rPr>
        <w:t>.”</w:t>
      </w:r>
    </w:p>
    <w:p w14:paraId="299811E8" w14:textId="26427087" w:rsidR="006D0621" w:rsidRPr="00D4433B" w:rsidRDefault="006D0621" w:rsidP="006D0621">
      <w:pPr>
        <w:pStyle w:val="JuPara"/>
        <w:rPr>
          <w:lang w:val="ro-RO"/>
        </w:rPr>
      </w:pPr>
      <w:r w:rsidRPr="00D4433B">
        <w:rPr>
          <w:rStyle w:val="sb8d990e2"/>
          <w:lang w:val="ro-RO"/>
        </w:rPr>
        <w:t>Artic</w:t>
      </w:r>
      <w:r w:rsidR="00833E9B" w:rsidRPr="00D4433B">
        <w:rPr>
          <w:rStyle w:val="sb8d990e2"/>
          <w:lang w:val="ro-RO"/>
        </w:rPr>
        <w:t xml:space="preserve">olul </w:t>
      </w:r>
      <w:r w:rsidRPr="00D4433B">
        <w:rPr>
          <w:rStyle w:val="sb8d990e2"/>
          <w:lang w:val="ro-RO"/>
        </w:rPr>
        <w:t>24, paragra</w:t>
      </w:r>
      <w:r w:rsidR="00833E9B" w:rsidRPr="00D4433B">
        <w:rPr>
          <w:rStyle w:val="sb8d990e2"/>
          <w:lang w:val="ro-RO"/>
        </w:rPr>
        <w:t xml:space="preserve">ful </w:t>
      </w:r>
      <w:r w:rsidRPr="00D4433B">
        <w:rPr>
          <w:rStyle w:val="sb8d990e2"/>
          <w:lang w:val="ro-RO"/>
        </w:rPr>
        <w:t xml:space="preserve">1, </w:t>
      </w:r>
      <w:r w:rsidR="00833E9B" w:rsidRPr="00D4433B">
        <w:rPr>
          <w:rStyle w:val="sb8d990e2"/>
          <w:lang w:val="ro-RO"/>
        </w:rPr>
        <w:t xml:space="preserve">din Codul </w:t>
      </w:r>
      <w:r w:rsidRPr="00D4433B">
        <w:rPr>
          <w:rStyle w:val="sb8d990e2"/>
          <w:lang w:val="ro-RO"/>
        </w:rPr>
        <w:t>Civil pr</w:t>
      </w:r>
      <w:r w:rsidR="00833E9B" w:rsidRPr="00D4433B">
        <w:rPr>
          <w:rStyle w:val="sb8d990e2"/>
          <w:lang w:val="ro-RO"/>
        </w:rPr>
        <w:t>evede</w:t>
      </w:r>
      <w:r w:rsidRPr="00D4433B">
        <w:rPr>
          <w:rStyle w:val="sb8d990e2"/>
          <w:lang w:val="ro-RO"/>
        </w:rPr>
        <w:t>:</w:t>
      </w:r>
    </w:p>
    <w:p w14:paraId="49F3B53E" w14:textId="67235C7E" w:rsidR="006D0621" w:rsidRPr="00D4433B" w:rsidRDefault="006D0621" w:rsidP="006D0621">
      <w:pPr>
        <w:pStyle w:val="JuQuot"/>
        <w:rPr>
          <w:rStyle w:val="sfbbfee58"/>
          <w:lang w:val="ro-RO"/>
        </w:rPr>
      </w:pPr>
      <w:r w:rsidRPr="00D4433B">
        <w:rPr>
          <w:rStyle w:val="sfbbfee58"/>
          <w:lang w:val="ro-RO"/>
        </w:rPr>
        <w:t>“</w:t>
      </w:r>
      <w:r w:rsidR="00833E9B" w:rsidRPr="00D4433B">
        <w:rPr>
          <w:rStyle w:val="sfbbfee58"/>
          <w:lang w:val="ro-RO"/>
        </w:rPr>
        <w:t>O persoană ale cărei drepturi personale sunt expuse riscului [de încălcare] de către un terț poate solicita o ordonanță, cu excepția cazului în care activitatea [care reprezintă obiectul încălcării] este legală. În caz de încălcare, [persoana în cauză] poate solicita, de asemenea, părții care a cauzat încălcarea să ia măsurile necesare pentru a remedia consecințele încălcării ... În conformitate cu principiile prezentului Cod, [persoana în cauză] poate solicita, de asemenea, despăgubiri bănești sau poate solicita instanței să stabilească o sumă adecvată în beneficiul unui anumit interes public</w:t>
      </w:r>
      <w:r w:rsidRPr="00D4433B">
        <w:rPr>
          <w:rStyle w:val="sfbbfee58"/>
          <w:lang w:val="ro-RO"/>
        </w:rPr>
        <w:t>.”</w:t>
      </w:r>
    </w:p>
    <w:p w14:paraId="257CDBB3" w14:textId="4E362BB7" w:rsidR="006D0621" w:rsidRPr="00D4433B" w:rsidRDefault="006D0621" w:rsidP="006D0621">
      <w:pPr>
        <w:pStyle w:val="JuPara"/>
        <w:rPr>
          <w:rStyle w:val="sb8d990e2"/>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23</w:t>
      </w:r>
      <w:r w:rsidRPr="00D4433B">
        <w:rPr>
          <w:lang w:val="ro-RO"/>
        </w:rPr>
        <w:fldChar w:fldCharType="end"/>
      </w:r>
      <w:r w:rsidRPr="00D4433B">
        <w:rPr>
          <w:lang w:val="ro-RO"/>
        </w:rPr>
        <w:t>.  </w:t>
      </w:r>
      <w:r w:rsidRPr="00D4433B">
        <w:rPr>
          <w:rStyle w:val="sb8d990e2"/>
          <w:lang w:val="ro-RO"/>
        </w:rPr>
        <w:t>Sec</w:t>
      </w:r>
      <w:r w:rsidR="00833E9B" w:rsidRPr="00D4433B">
        <w:rPr>
          <w:rStyle w:val="sb8d990e2"/>
          <w:lang w:val="ro-RO"/>
        </w:rPr>
        <w:t>ț</w:t>
      </w:r>
      <w:r w:rsidRPr="00D4433B">
        <w:rPr>
          <w:rStyle w:val="sb8d990e2"/>
          <w:lang w:val="ro-RO"/>
        </w:rPr>
        <w:t>i</w:t>
      </w:r>
      <w:r w:rsidR="00833E9B" w:rsidRPr="00D4433B">
        <w:rPr>
          <w:rStyle w:val="sb8d990e2"/>
          <w:lang w:val="ro-RO"/>
        </w:rPr>
        <w:t xml:space="preserve">unea </w:t>
      </w:r>
      <w:r w:rsidRPr="00D4433B">
        <w:rPr>
          <w:rStyle w:val="sb8d990e2"/>
          <w:lang w:val="ro-RO"/>
        </w:rPr>
        <w:t xml:space="preserve">31 </w:t>
      </w:r>
      <w:r w:rsidR="00833E9B" w:rsidRPr="00D4433B">
        <w:rPr>
          <w:rStyle w:val="sb8d990e2"/>
          <w:lang w:val="ro-RO"/>
        </w:rPr>
        <w:t xml:space="preserve">din Legea Presei din </w:t>
      </w:r>
      <w:r w:rsidRPr="00D4433B">
        <w:rPr>
          <w:rStyle w:val="sb8d990e2"/>
          <w:lang w:val="ro-RO"/>
        </w:rPr>
        <w:t xml:space="preserve">1984 </w:t>
      </w:r>
      <w:r w:rsidR="00833E9B" w:rsidRPr="00D4433B">
        <w:rPr>
          <w:rStyle w:val="sb8d990e2"/>
          <w:lang w:val="ro-RO"/>
        </w:rPr>
        <w:t>prevede</w:t>
      </w:r>
      <w:r w:rsidR="009B4EB4" w:rsidRPr="00D4433B">
        <w:rPr>
          <w:rStyle w:val="sb8d990e2"/>
          <w:lang w:val="ro-RO"/>
        </w:rPr>
        <w:t xml:space="preserve"> următoarele</w:t>
      </w:r>
      <w:r w:rsidRPr="00D4433B">
        <w:rPr>
          <w:rStyle w:val="sb8d990e2"/>
          <w:lang w:val="ro-RO"/>
        </w:rPr>
        <w:t xml:space="preserve">, </w:t>
      </w:r>
      <w:r w:rsidR="00833E9B" w:rsidRPr="00D4433B">
        <w:rPr>
          <w:rStyle w:val="sb8d990e2"/>
          <w:lang w:val="ro-RO"/>
        </w:rPr>
        <w:t>în măsura în care are relevanță</w:t>
      </w:r>
      <w:r w:rsidRPr="00D4433B">
        <w:rPr>
          <w:rStyle w:val="sb8d990e2"/>
          <w:lang w:val="ro-RO"/>
        </w:rPr>
        <w:t>:</w:t>
      </w:r>
    </w:p>
    <w:p w14:paraId="08AA137B" w14:textId="77777777" w:rsidR="009B4EB4" w:rsidRPr="00D4433B" w:rsidRDefault="006D0621" w:rsidP="009B4EB4">
      <w:pPr>
        <w:pStyle w:val="JuQuot"/>
        <w:rPr>
          <w:rStyle w:val="sfbbfee58"/>
          <w:lang w:val="ro-RO"/>
        </w:rPr>
      </w:pPr>
      <w:r w:rsidRPr="00D4433B">
        <w:rPr>
          <w:rStyle w:val="sfbbfee58"/>
          <w:lang w:val="ro-RO"/>
        </w:rPr>
        <w:lastRenderedPageBreak/>
        <w:t>“</w:t>
      </w:r>
      <w:r w:rsidR="009B4EB4" w:rsidRPr="00D4433B">
        <w:rPr>
          <w:rStyle w:val="sfbbfee58"/>
          <w:lang w:val="ro-RO"/>
        </w:rPr>
        <w:t>La cererea unei persoane fizice sau juridice sau a unei alte entități organizaționale, redactorul șef al cotidianului sau revistei relevante are obligația de a publica, gratuit:</w:t>
      </w:r>
    </w:p>
    <w:p w14:paraId="7FBA01BD" w14:textId="77777777" w:rsidR="009B4EB4" w:rsidRPr="00D4433B" w:rsidRDefault="009B4EB4" w:rsidP="009B4EB4">
      <w:pPr>
        <w:pStyle w:val="JuQuot"/>
        <w:rPr>
          <w:rStyle w:val="sfbbfee58"/>
          <w:lang w:val="ro-RO"/>
        </w:rPr>
      </w:pPr>
      <w:r w:rsidRPr="00D4433B">
        <w:rPr>
          <w:rStyle w:val="sfbbfee58"/>
          <w:lang w:val="ro-RO"/>
        </w:rPr>
        <w:t>1. o rectificare bazată pe realitate (</w:t>
      </w:r>
      <w:proofErr w:type="spellStart"/>
      <w:r w:rsidRPr="00D4433B">
        <w:rPr>
          <w:rStyle w:val="sfbbfee58"/>
          <w:i/>
          <w:iCs/>
          <w:lang w:val="ro-RO"/>
        </w:rPr>
        <w:t>rzeczowe</w:t>
      </w:r>
      <w:proofErr w:type="spellEnd"/>
      <w:r w:rsidRPr="00D4433B">
        <w:rPr>
          <w:rStyle w:val="sfbbfee58"/>
          <w:i/>
          <w:iCs/>
          <w:lang w:val="ro-RO"/>
        </w:rPr>
        <w:t xml:space="preserve"> i </w:t>
      </w:r>
      <w:proofErr w:type="spellStart"/>
      <w:r w:rsidRPr="00D4433B">
        <w:rPr>
          <w:rStyle w:val="sfbbfee58"/>
          <w:i/>
          <w:iCs/>
          <w:lang w:val="ro-RO"/>
        </w:rPr>
        <w:t>odnoszące</w:t>
      </w:r>
      <w:proofErr w:type="spellEnd"/>
      <w:r w:rsidRPr="00D4433B">
        <w:rPr>
          <w:rStyle w:val="sfbbfee58"/>
          <w:i/>
          <w:iCs/>
          <w:lang w:val="ro-RO"/>
        </w:rPr>
        <w:t xml:space="preserve"> </w:t>
      </w:r>
      <w:proofErr w:type="spellStart"/>
      <w:r w:rsidRPr="00D4433B">
        <w:rPr>
          <w:rStyle w:val="sfbbfee58"/>
          <w:i/>
          <w:iCs/>
          <w:lang w:val="ro-RO"/>
        </w:rPr>
        <w:t>się</w:t>
      </w:r>
      <w:proofErr w:type="spellEnd"/>
      <w:r w:rsidRPr="00D4433B">
        <w:rPr>
          <w:rStyle w:val="sfbbfee58"/>
          <w:i/>
          <w:iCs/>
          <w:lang w:val="ro-RO"/>
        </w:rPr>
        <w:t xml:space="preserve"> do </w:t>
      </w:r>
      <w:proofErr w:type="spellStart"/>
      <w:r w:rsidRPr="00D4433B">
        <w:rPr>
          <w:rStyle w:val="sfbbfee58"/>
          <w:i/>
          <w:iCs/>
          <w:lang w:val="ro-RO"/>
        </w:rPr>
        <w:t>faktów</w:t>
      </w:r>
      <w:proofErr w:type="spellEnd"/>
      <w:r w:rsidRPr="00D4433B">
        <w:rPr>
          <w:rStyle w:val="sfbbfee58"/>
          <w:lang w:val="ro-RO"/>
        </w:rPr>
        <w:t>) a declarațiilor neadevărate sau inexacte,</w:t>
      </w:r>
    </w:p>
    <w:p w14:paraId="6300F442" w14:textId="1DE1BF5E" w:rsidR="006D0621" w:rsidRPr="00D4433B" w:rsidRDefault="009B4EB4" w:rsidP="009B4EB4">
      <w:pPr>
        <w:pStyle w:val="JuQuot"/>
        <w:rPr>
          <w:lang w:val="ro-RO"/>
        </w:rPr>
      </w:pPr>
      <w:r w:rsidRPr="00D4433B">
        <w:rPr>
          <w:rStyle w:val="sfbbfee58"/>
          <w:lang w:val="ro-RO"/>
        </w:rPr>
        <w:t>2. un răspuns bazat pe realitate (</w:t>
      </w:r>
      <w:proofErr w:type="spellStart"/>
      <w:r w:rsidRPr="00D4433B">
        <w:rPr>
          <w:rStyle w:val="sfbbfee58"/>
          <w:i/>
          <w:iCs/>
          <w:lang w:val="ro-RO"/>
        </w:rPr>
        <w:t>rzeczową</w:t>
      </w:r>
      <w:proofErr w:type="spellEnd"/>
      <w:r w:rsidRPr="00D4433B">
        <w:rPr>
          <w:rStyle w:val="sfbbfee58"/>
          <w:lang w:val="ro-RO"/>
        </w:rPr>
        <w:t>) la orice declarație care ar putea încălca drepturile personale ale cuiva</w:t>
      </w:r>
      <w:r w:rsidR="006D0621" w:rsidRPr="00D4433B">
        <w:rPr>
          <w:rStyle w:val="sfbbfee58"/>
          <w:lang w:val="ro-RO"/>
        </w:rPr>
        <w:t>.”</w:t>
      </w:r>
    </w:p>
    <w:p w14:paraId="36A77406" w14:textId="669A0572" w:rsidR="006D0621" w:rsidRPr="00D4433B" w:rsidRDefault="009B4EB4" w:rsidP="006D0621">
      <w:pPr>
        <w:pStyle w:val="JuHHead"/>
        <w:rPr>
          <w:lang w:val="ro-RO"/>
        </w:rPr>
      </w:pPr>
      <w:r w:rsidRPr="00D4433B">
        <w:rPr>
          <w:lang w:val="ro-RO"/>
        </w:rPr>
        <w:t xml:space="preserve">DREPTUL </w:t>
      </w:r>
    </w:p>
    <w:p w14:paraId="511AE12C" w14:textId="4BB56A74" w:rsidR="006D0621" w:rsidRPr="00D4433B" w:rsidRDefault="009B4EB4" w:rsidP="006D0621">
      <w:pPr>
        <w:pStyle w:val="JuHIRoman"/>
        <w:rPr>
          <w:lang w:val="ro-RO"/>
        </w:rPr>
      </w:pPr>
      <w:r w:rsidRPr="00D4433B">
        <w:rPr>
          <w:lang w:val="ro-RO"/>
        </w:rPr>
        <w:t xml:space="preserve">ÎNCĂLCAREA PRETINSĂ A </w:t>
      </w:r>
      <w:r w:rsidR="006D0621" w:rsidRPr="00D4433B">
        <w:rPr>
          <w:lang w:val="ro-RO"/>
        </w:rPr>
        <w:t>ARTIC</w:t>
      </w:r>
      <w:r w:rsidRPr="00D4433B">
        <w:rPr>
          <w:lang w:val="ro-RO"/>
        </w:rPr>
        <w:t xml:space="preserve">OLULUI </w:t>
      </w:r>
      <w:r w:rsidR="006D0621" w:rsidRPr="00D4433B">
        <w:rPr>
          <w:lang w:val="ro-RO"/>
        </w:rPr>
        <w:t xml:space="preserve">8 </w:t>
      </w:r>
      <w:r w:rsidRPr="00D4433B">
        <w:rPr>
          <w:lang w:val="ro-RO"/>
        </w:rPr>
        <w:t xml:space="preserve">AL </w:t>
      </w:r>
      <w:r w:rsidR="006D0621" w:rsidRPr="00D4433B">
        <w:rPr>
          <w:lang w:val="ro-RO"/>
        </w:rPr>
        <w:t>CONVEN</w:t>
      </w:r>
      <w:r w:rsidRPr="00D4433B">
        <w:rPr>
          <w:lang w:val="ro-RO"/>
        </w:rPr>
        <w:t>ȚIEI</w:t>
      </w:r>
    </w:p>
    <w:p w14:paraId="0F3D2A68" w14:textId="6A4BCBC3"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24</w:t>
      </w:r>
      <w:r w:rsidRPr="00D4433B">
        <w:rPr>
          <w:lang w:val="ro-RO"/>
        </w:rPr>
        <w:fldChar w:fldCharType="end"/>
      </w:r>
      <w:r w:rsidRPr="00D4433B">
        <w:rPr>
          <w:lang w:val="ro-RO"/>
        </w:rPr>
        <w:t>.  </w:t>
      </w:r>
      <w:r w:rsidR="009B4EB4" w:rsidRPr="00D4433B">
        <w:rPr>
          <w:lang w:val="ro-RO"/>
        </w:rPr>
        <w:t xml:space="preserve">Reclamanții s-au plâns că le-au fost încălcate drepturile la respectarea vieții lor private și a reputației. Aceștia au făcut referire la </w:t>
      </w:r>
      <w:r w:rsidR="00D4433B" w:rsidRPr="00D4433B">
        <w:rPr>
          <w:lang w:val="ro-RO"/>
        </w:rPr>
        <w:t>Articol</w:t>
      </w:r>
      <w:r w:rsidR="009B4EB4" w:rsidRPr="00D4433B">
        <w:rPr>
          <w:lang w:val="ro-RO"/>
        </w:rPr>
        <w:t>ul 8 din convenție, care, în măsura în care este relevant, prevede următoarele:</w:t>
      </w:r>
    </w:p>
    <w:p w14:paraId="38908DF5" w14:textId="5F3C2134" w:rsidR="0090070F" w:rsidRPr="00D4433B" w:rsidRDefault="009B760A" w:rsidP="006D0621">
      <w:pPr>
        <w:pStyle w:val="JuQuot"/>
        <w:rPr>
          <w:lang w:val="ro-RO"/>
        </w:rPr>
      </w:pPr>
      <w:r w:rsidRPr="00D4433B">
        <w:rPr>
          <w:lang w:val="ro-RO"/>
        </w:rPr>
        <w:t>“1.  </w:t>
      </w:r>
      <w:r w:rsidR="009B4EB4" w:rsidRPr="00D4433B">
        <w:rPr>
          <w:lang w:val="ro-RO"/>
        </w:rPr>
        <w:t xml:space="preserve">Orice persoană are dreptul la respectarea vieții sale </w:t>
      </w:r>
      <w:r w:rsidR="006D0621" w:rsidRPr="00D4433B">
        <w:rPr>
          <w:lang w:val="ro-RO"/>
        </w:rPr>
        <w:t>privat</w:t>
      </w:r>
      <w:r w:rsidR="009B4EB4" w:rsidRPr="00D4433B">
        <w:rPr>
          <w:lang w:val="ro-RO"/>
        </w:rPr>
        <w:t>e</w:t>
      </w:r>
      <w:r w:rsidR="000E1EED" w:rsidRPr="00D4433B">
        <w:rPr>
          <w:lang w:val="ro-RO"/>
        </w:rPr>
        <w:t>...</w:t>
      </w:r>
    </w:p>
    <w:p w14:paraId="1CA2AFFF" w14:textId="70B71E0B" w:rsidR="006D0621" w:rsidRPr="00D4433B" w:rsidRDefault="006D0621" w:rsidP="006D0621">
      <w:pPr>
        <w:pStyle w:val="JuQuot"/>
        <w:rPr>
          <w:lang w:val="ro-RO"/>
        </w:rPr>
      </w:pPr>
      <w:r w:rsidRPr="00D4433B">
        <w:rPr>
          <w:lang w:val="ro-RO"/>
        </w:rPr>
        <w:t>2.  </w:t>
      </w:r>
      <w:r w:rsidR="009B4EB4" w:rsidRPr="00D4433B">
        <w:rPr>
          <w:lang w:val="ro-RO"/>
        </w:rPr>
        <w:t>Nu este admis amestecul unei autorități publice în exercitarea acestui drept decât în măsura în care acest amestec este prevăzut de lege și dacă constituie o măsură care, într-o societate democratică, este necesară pentru securitatea națională, siguranța publică, bunăstarea economică a țării, apărarea ordinii și prevenirea faptelor penale, protejarea sănătății sau a moralei, ori protejarea drepturilor și libertăților altora</w:t>
      </w:r>
      <w:r w:rsidRPr="00D4433B">
        <w:rPr>
          <w:lang w:val="ro-RO"/>
        </w:rPr>
        <w:t>.”</w:t>
      </w:r>
    </w:p>
    <w:p w14:paraId="284681C3" w14:textId="1755E265" w:rsidR="006D0621" w:rsidRPr="00D4433B" w:rsidRDefault="006D0621" w:rsidP="006D0621">
      <w:pPr>
        <w:pStyle w:val="JuHA"/>
        <w:outlineLvl w:val="0"/>
        <w:rPr>
          <w:lang w:val="ro-RO"/>
        </w:rPr>
      </w:pPr>
      <w:r w:rsidRPr="00D4433B">
        <w:rPr>
          <w:lang w:val="ro-RO"/>
        </w:rPr>
        <w:t>A.  Admisibilit</w:t>
      </w:r>
      <w:r w:rsidR="009B4EB4" w:rsidRPr="00D4433B">
        <w:rPr>
          <w:lang w:val="ro-RO"/>
        </w:rPr>
        <w:t>ate</w:t>
      </w:r>
    </w:p>
    <w:p w14:paraId="33ECCB31" w14:textId="7AD1AB7F" w:rsidR="0090070F" w:rsidRPr="00D4433B" w:rsidRDefault="009B760A" w:rsidP="006D0621">
      <w:pPr>
        <w:pStyle w:val="JuH1"/>
        <w:rPr>
          <w:lang w:val="ro-RO"/>
        </w:rPr>
      </w:pPr>
      <w:r w:rsidRPr="00D4433B">
        <w:rPr>
          <w:lang w:val="ro-RO"/>
        </w:rPr>
        <w:t>1.  </w:t>
      </w:r>
      <w:r w:rsidR="00C41D57" w:rsidRPr="00D4433B">
        <w:rPr>
          <w:lang w:val="ro-RO"/>
        </w:rPr>
        <w:t xml:space="preserve">Pretinsul abuz al dreptului la </w:t>
      </w:r>
      <w:r w:rsidR="005734E3" w:rsidRPr="00D4433B">
        <w:rPr>
          <w:lang w:val="ro-RO"/>
        </w:rPr>
        <w:t xml:space="preserve">petiție </w:t>
      </w:r>
      <w:r w:rsidR="006D0621" w:rsidRPr="00D4433B">
        <w:rPr>
          <w:lang w:val="ro-RO"/>
        </w:rPr>
        <w:t>individual</w:t>
      </w:r>
      <w:r w:rsidR="00C41D57" w:rsidRPr="00D4433B">
        <w:rPr>
          <w:lang w:val="ro-RO"/>
        </w:rPr>
        <w:t>ă</w:t>
      </w:r>
      <w:r w:rsidR="006D0621" w:rsidRPr="00D4433B">
        <w:rPr>
          <w:lang w:val="ro-RO"/>
        </w:rPr>
        <w:t xml:space="preserve"> </w:t>
      </w:r>
    </w:p>
    <w:p w14:paraId="1E3BD6DE" w14:textId="1C033DC4" w:rsidR="0090070F" w:rsidRPr="00D4433B" w:rsidRDefault="006D0621" w:rsidP="006D0621">
      <w:pPr>
        <w:pStyle w:val="JuPara"/>
        <w:rPr>
          <w:szCs w:val="22"/>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25</w:t>
      </w:r>
      <w:r w:rsidRPr="00D4433B">
        <w:rPr>
          <w:lang w:val="ro-RO"/>
        </w:rPr>
        <w:fldChar w:fldCharType="end"/>
      </w:r>
      <w:r w:rsidRPr="00D4433B">
        <w:rPr>
          <w:lang w:val="ro-RO"/>
        </w:rPr>
        <w:t>.  </w:t>
      </w:r>
      <w:r w:rsidR="00C77555" w:rsidRPr="00D4433B">
        <w:rPr>
          <w:lang w:val="ro-RO"/>
        </w:rPr>
        <w:t xml:space="preserve">Guvernul a fost de părere că cererea ar trebui declarată inadmisibilă, deoarece a constituit un abuz al dreptului </w:t>
      </w:r>
      <w:r w:rsidR="005734E3" w:rsidRPr="00D4433B">
        <w:rPr>
          <w:lang w:val="ro-RO"/>
        </w:rPr>
        <w:t xml:space="preserve">la petiție </w:t>
      </w:r>
      <w:r w:rsidR="00C77555" w:rsidRPr="00D4433B">
        <w:rPr>
          <w:lang w:val="ro-RO"/>
        </w:rPr>
        <w:t xml:space="preserve">individuală în sensul </w:t>
      </w:r>
      <w:r w:rsidR="00D4433B" w:rsidRPr="00D4433B">
        <w:rPr>
          <w:lang w:val="ro-RO"/>
        </w:rPr>
        <w:t>Articol</w:t>
      </w:r>
      <w:r w:rsidR="00C77555" w:rsidRPr="00D4433B">
        <w:rPr>
          <w:lang w:val="ro-RO"/>
        </w:rPr>
        <w:t xml:space="preserve">ului 35 § 3 al Convenției. Reclamanții ar fi trebuit să ridice problema publicării pe internet a articolului defăimător în prima acțiune civilă pentru a obține o despăgubire adecvată. Ar fi trebuit să solicite curții </w:t>
      </w:r>
      <w:r w:rsidR="00EC516F" w:rsidRPr="00D4433B">
        <w:rPr>
          <w:lang w:val="ro-RO"/>
        </w:rPr>
        <w:t xml:space="preserve">să dispună </w:t>
      </w:r>
      <w:r w:rsidR="00C77555" w:rsidRPr="00D4433B">
        <w:rPr>
          <w:lang w:val="ro-RO"/>
        </w:rPr>
        <w:t>ca articolul - care fusese deja publicat pe site-ul ziarului în acel moment - să fie eliminat de pe website. Cu toate acestea, nu au făcut acest lucru.</w:t>
      </w:r>
    </w:p>
    <w:p w14:paraId="78AEC1BC" w14:textId="741DAA12" w:rsidR="0090070F" w:rsidRPr="00D4433B" w:rsidRDefault="006D0621" w:rsidP="006D0621">
      <w:pPr>
        <w:pStyle w:val="JuPara"/>
        <w:rPr>
          <w:szCs w:val="22"/>
          <w:lang w:val="ro-RO"/>
        </w:rPr>
      </w:pPr>
      <w:r w:rsidRPr="00D4433B">
        <w:rPr>
          <w:szCs w:val="22"/>
          <w:lang w:val="ro-RO"/>
        </w:rPr>
        <w:fldChar w:fldCharType="begin"/>
      </w:r>
      <w:r w:rsidRPr="00D4433B">
        <w:rPr>
          <w:szCs w:val="22"/>
          <w:lang w:val="ro-RO"/>
        </w:rPr>
        <w:instrText xml:space="preserve"> SEQ level0 \*arabic </w:instrText>
      </w:r>
      <w:r w:rsidRPr="00D4433B">
        <w:rPr>
          <w:szCs w:val="22"/>
          <w:lang w:val="ro-RO"/>
        </w:rPr>
        <w:fldChar w:fldCharType="separate"/>
      </w:r>
      <w:r w:rsidR="0017292E" w:rsidRPr="00D4433B">
        <w:rPr>
          <w:szCs w:val="22"/>
          <w:lang w:val="ro-RO"/>
        </w:rPr>
        <w:t>26</w:t>
      </w:r>
      <w:r w:rsidRPr="00D4433B">
        <w:rPr>
          <w:szCs w:val="22"/>
          <w:lang w:val="ro-RO"/>
        </w:rPr>
        <w:fldChar w:fldCharType="end"/>
      </w:r>
      <w:r w:rsidRPr="00D4433B">
        <w:rPr>
          <w:szCs w:val="22"/>
          <w:lang w:val="ro-RO"/>
        </w:rPr>
        <w:t>. </w:t>
      </w:r>
      <w:r w:rsidR="00C77555" w:rsidRPr="00D4433B">
        <w:rPr>
          <w:szCs w:val="22"/>
          <w:lang w:val="ro-RO"/>
        </w:rPr>
        <w:t>Guvernul a concluzionat că reclamanții au adus prezenta cauză în fața Curții cu scopul de a utiliza sistemul de protecție instituit prin Convenție pentru a-și îndrepta propria neglijență în justificarea drepturilor lor personale. Dat fiind că amândoi erau avocați, lipsa lor de a acționa într-un mod adecvat nu avea justificare.</w:t>
      </w:r>
    </w:p>
    <w:p w14:paraId="634B4740" w14:textId="052DB501" w:rsidR="0090070F" w:rsidRPr="00D4433B" w:rsidRDefault="006D0621" w:rsidP="006D0621">
      <w:pPr>
        <w:pStyle w:val="JuPara"/>
        <w:rPr>
          <w:szCs w:val="22"/>
          <w:lang w:val="ro-RO"/>
        </w:rPr>
      </w:pPr>
      <w:r w:rsidRPr="00D4433B">
        <w:rPr>
          <w:szCs w:val="22"/>
          <w:lang w:val="ro-RO"/>
        </w:rPr>
        <w:fldChar w:fldCharType="begin"/>
      </w:r>
      <w:r w:rsidRPr="00D4433B">
        <w:rPr>
          <w:szCs w:val="22"/>
          <w:lang w:val="ro-RO"/>
        </w:rPr>
        <w:instrText xml:space="preserve"> SEQ level0 \*arabic </w:instrText>
      </w:r>
      <w:r w:rsidRPr="00D4433B">
        <w:rPr>
          <w:szCs w:val="22"/>
          <w:lang w:val="ro-RO"/>
        </w:rPr>
        <w:fldChar w:fldCharType="separate"/>
      </w:r>
      <w:r w:rsidR="0017292E" w:rsidRPr="00D4433B">
        <w:rPr>
          <w:szCs w:val="22"/>
          <w:lang w:val="ro-RO"/>
        </w:rPr>
        <w:t>27</w:t>
      </w:r>
      <w:r w:rsidRPr="00D4433B">
        <w:rPr>
          <w:szCs w:val="22"/>
          <w:lang w:val="ro-RO"/>
        </w:rPr>
        <w:fldChar w:fldCharType="end"/>
      </w:r>
      <w:r w:rsidRPr="00D4433B">
        <w:rPr>
          <w:szCs w:val="22"/>
          <w:lang w:val="ro-RO"/>
        </w:rPr>
        <w:t>.  </w:t>
      </w:r>
      <w:r w:rsidR="00C77555" w:rsidRPr="00D4433B">
        <w:rPr>
          <w:szCs w:val="22"/>
          <w:lang w:val="ro-RO"/>
        </w:rPr>
        <w:t>Reclamanții nu au abordat în mod expres acest aspect al cazului</w:t>
      </w:r>
      <w:r w:rsidRPr="00D4433B">
        <w:rPr>
          <w:szCs w:val="22"/>
          <w:lang w:val="ro-RO"/>
        </w:rPr>
        <w:t>.</w:t>
      </w:r>
    </w:p>
    <w:p w14:paraId="59F94920" w14:textId="2B0628FB" w:rsidR="006D0621" w:rsidRPr="00D4433B" w:rsidRDefault="006D0621" w:rsidP="006D0621">
      <w:pPr>
        <w:pStyle w:val="JuPara"/>
        <w:rPr>
          <w:rStyle w:val="sb8d990e2"/>
          <w:lang w:val="ro-RO"/>
        </w:rPr>
      </w:pPr>
      <w:r w:rsidRPr="00D4433B">
        <w:rPr>
          <w:szCs w:val="22"/>
          <w:lang w:val="ro-RO"/>
        </w:rPr>
        <w:fldChar w:fldCharType="begin"/>
      </w:r>
      <w:r w:rsidRPr="00D4433B">
        <w:rPr>
          <w:szCs w:val="22"/>
          <w:lang w:val="ro-RO"/>
        </w:rPr>
        <w:instrText xml:space="preserve"> SEQ level0 \*arabic </w:instrText>
      </w:r>
      <w:r w:rsidRPr="00D4433B">
        <w:rPr>
          <w:szCs w:val="22"/>
          <w:lang w:val="ro-RO"/>
        </w:rPr>
        <w:fldChar w:fldCharType="separate"/>
      </w:r>
      <w:r w:rsidR="0017292E" w:rsidRPr="00D4433B">
        <w:rPr>
          <w:szCs w:val="22"/>
          <w:lang w:val="ro-RO"/>
        </w:rPr>
        <w:t>28</w:t>
      </w:r>
      <w:r w:rsidRPr="00D4433B">
        <w:rPr>
          <w:szCs w:val="22"/>
          <w:lang w:val="ro-RO"/>
        </w:rPr>
        <w:fldChar w:fldCharType="end"/>
      </w:r>
      <w:r w:rsidRPr="00D4433B">
        <w:rPr>
          <w:szCs w:val="22"/>
          <w:lang w:val="ro-RO"/>
        </w:rPr>
        <w:t>.  Curt</w:t>
      </w:r>
      <w:r w:rsidR="00C77555" w:rsidRPr="00D4433B">
        <w:rPr>
          <w:szCs w:val="22"/>
          <w:lang w:val="ro-RO"/>
        </w:rPr>
        <w:t>ea</w:t>
      </w:r>
      <w:r w:rsidRPr="00D4433B">
        <w:rPr>
          <w:szCs w:val="22"/>
          <w:lang w:val="ro-RO"/>
        </w:rPr>
        <w:t xml:space="preserve"> reiter</w:t>
      </w:r>
      <w:r w:rsidR="00C77555" w:rsidRPr="00D4433B">
        <w:rPr>
          <w:szCs w:val="22"/>
          <w:lang w:val="ro-RO"/>
        </w:rPr>
        <w:t>e</w:t>
      </w:r>
      <w:r w:rsidRPr="00D4433B">
        <w:rPr>
          <w:szCs w:val="22"/>
          <w:lang w:val="ro-RO"/>
        </w:rPr>
        <w:t>a</w:t>
      </w:r>
      <w:r w:rsidR="00C77555" w:rsidRPr="00D4433B">
        <w:rPr>
          <w:szCs w:val="22"/>
          <w:lang w:val="ro-RO"/>
        </w:rPr>
        <w:t xml:space="preserve">ză că o cerere poate fi </w:t>
      </w:r>
      <w:r w:rsidRPr="00D4433B">
        <w:rPr>
          <w:rStyle w:val="sb8d990e2"/>
          <w:lang w:val="ro-RO"/>
        </w:rPr>
        <w:t>re</w:t>
      </w:r>
      <w:r w:rsidR="00C77555" w:rsidRPr="00D4433B">
        <w:rPr>
          <w:rStyle w:val="sb8d990e2"/>
          <w:lang w:val="ro-RO"/>
        </w:rPr>
        <w:t xml:space="preserve">spinsă ca </w:t>
      </w:r>
      <w:r w:rsidRPr="00D4433B">
        <w:rPr>
          <w:rStyle w:val="sb8d990e2"/>
          <w:lang w:val="ro-RO"/>
        </w:rPr>
        <w:t>abu</w:t>
      </w:r>
      <w:r w:rsidR="00C77555" w:rsidRPr="00D4433B">
        <w:rPr>
          <w:rStyle w:val="sb8d990e2"/>
          <w:lang w:val="ro-RO"/>
        </w:rPr>
        <w:t>z</w:t>
      </w:r>
      <w:r w:rsidRPr="00D4433B">
        <w:rPr>
          <w:rStyle w:val="sb8d990e2"/>
          <w:lang w:val="ro-RO"/>
        </w:rPr>
        <w:t>iv</w:t>
      </w:r>
      <w:r w:rsidR="00C77555" w:rsidRPr="00D4433B">
        <w:rPr>
          <w:rStyle w:val="sb8d990e2"/>
          <w:lang w:val="ro-RO"/>
        </w:rPr>
        <w:t>ă</w:t>
      </w:r>
      <w:r w:rsidRPr="00D4433B">
        <w:rPr>
          <w:rStyle w:val="sb8d990e2"/>
          <w:lang w:val="ro-RO"/>
        </w:rPr>
        <w:t xml:space="preserve"> </w:t>
      </w:r>
      <w:r w:rsidR="001149FD" w:rsidRPr="00D4433B">
        <w:rPr>
          <w:rStyle w:val="sb8d990e2"/>
          <w:lang w:val="ro-RO"/>
        </w:rPr>
        <w:t xml:space="preserve">conform </w:t>
      </w:r>
      <w:r w:rsidRPr="00D4433B">
        <w:rPr>
          <w:rStyle w:val="sb8d990e2"/>
          <w:lang w:val="ro-RO"/>
        </w:rPr>
        <w:t>Artic</w:t>
      </w:r>
      <w:r w:rsidR="001149FD" w:rsidRPr="00D4433B">
        <w:rPr>
          <w:rStyle w:val="sb8d990e2"/>
          <w:lang w:val="ro-RO"/>
        </w:rPr>
        <w:t>olului</w:t>
      </w:r>
      <w:r w:rsidRPr="00D4433B">
        <w:rPr>
          <w:rStyle w:val="sb8d990e2"/>
          <w:lang w:val="ro-RO"/>
        </w:rPr>
        <w:t xml:space="preserve"> 35 § 3 </w:t>
      </w:r>
      <w:r w:rsidR="001149FD" w:rsidRPr="00D4433B">
        <w:rPr>
          <w:rStyle w:val="sb8d990e2"/>
          <w:lang w:val="ro-RO"/>
        </w:rPr>
        <w:t xml:space="preserve">din </w:t>
      </w:r>
      <w:r w:rsidRPr="00D4433B">
        <w:rPr>
          <w:rStyle w:val="sb8d990e2"/>
          <w:lang w:val="ro-RO"/>
        </w:rPr>
        <w:t>Conven</w:t>
      </w:r>
      <w:r w:rsidR="001149FD" w:rsidRPr="00D4433B">
        <w:rPr>
          <w:rStyle w:val="sb8d990e2"/>
          <w:lang w:val="ro-RO"/>
        </w:rPr>
        <w:t>ție</w:t>
      </w:r>
      <w:r w:rsidRPr="00D4433B">
        <w:rPr>
          <w:rStyle w:val="sb8d990e2"/>
          <w:lang w:val="ro-RO"/>
        </w:rPr>
        <w:t xml:space="preserve">, </w:t>
      </w:r>
      <w:r w:rsidR="001149FD" w:rsidRPr="00D4433B">
        <w:rPr>
          <w:rStyle w:val="sb8d990e2"/>
          <w:lang w:val="ro-RO"/>
        </w:rPr>
        <w:t>printre alte motive</w:t>
      </w:r>
      <w:r w:rsidRPr="00D4433B">
        <w:rPr>
          <w:rStyle w:val="sb8d990e2"/>
          <w:lang w:val="ro-RO"/>
        </w:rPr>
        <w:t xml:space="preserve">, </w:t>
      </w:r>
      <w:r w:rsidR="005E3D1E" w:rsidRPr="00D4433B">
        <w:rPr>
          <w:rStyle w:val="sb8d990e2"/>
          <w:lang w:val="ro-RO"/>
        </w:rPr>
        <w:t>dacă se baza pe fapte știute a fi neadevărate</w:t>
      </w:r>
      <w:r w:rsidR="0090070F" w:rsidRPr="00D4433B">
        <w:rPr>
          <w:rStyle w:val="sb8d990e2"/>
          <w:lang w:val="ro-RO"/>
        </w:rPr>
        <w:t xml:space="preserve"> </w:t>
      </w:r>
      <w:r w:rsidRPr="00D4433B">
        <w:rPr>
          <w:rStyle w:val="sb8d990e2"/>
          <w:lang w:val="ro-RO"/>
        </w:rPr>
        <w:t>(</w:t>
      </w:r>
      <w:r w:rsidR="005E3D1E" w:rsidRPr="00D4433B">
        <w:rPr>
          <w:rStyle w:val="sb8d990e2"/>
          <w:lang w:val="ro-RO"/>
        </w:rPr>
        <w:t>a se vedea</w:t>
      </w:r>
      <w:r w:rsidRPr="00D4433B">
        <w:rPr>
          <w:rStyle w:val="sb8d990e2"/>
          <w:lang w:val="ro-RO"/>
        </w:rPr>
        <w:t xml:space="preserve"> </w:t>
      </w:r>
      <w:proofErr w:type="spellStart"/>
      <w:r w:rsidRPr="00D4433B">
        <w:rPr>
          <w:rStyle w:val="s6b621b36"/>
          <w:i/>
          <w:lang w:val="ro-RO"/>
        </w:rPr>
        <w:t>Varbanov</w:t>
      </w:r>
      <w:proofErr w:type="spellEnd"/>
      <w:r w:rsidRPr="00D4433B">
        <w:rPr>
          <w:rStyle w:val="s6b621b36"/>
          <w:i/>
          <w:lang w:val="ro-RO"/>
        </w:rPr>
        <w:t xml:space="preserve"> </w:t>
      </w:r>
      <w:r w:rsidR="005E3D1E" w:rsidRPr="00D4433B">
        <w:rPr>
          <w:rStyle w:val="s6b621b36"/>
          <w:i/>
          <w:lang w:val="ro-RO"/>
        </w:rPr>
        <w:t>împotriva</w:t>
      </w:r>
      <w:r w:rsidRPr="00D4433B">
        <w:rPr>
          <w:rStyle w:val="s6b621b36"/>
          <w:i/>
          <w:lang w:val="ro-RO"/>
        </w:rPr>
        <w:t> Bulgari</w:t>
      </w:r>
      <w:r w:rsidR="005E3D1E" w:rsidRPr="00D4433B">
        <w:rPr>
          <w:rStyle w:val="s6b621b36"/>
          <w:i/>
          <w:lang w:val="ro-RO"/>
        </w:rPr>
        <w:t>ei</w:t>
      </w:r>
      <w:r w:rsidRPr="00D4433B">
        <w:rPr>
          <w:rStyle w:val="sb8d990e2"/>
          <w:lang w:val="ro-RO"/>
        </w:rPr>
        <w:t xml:space="preserve">, </w:t>
      </w:r>
      <w:proofErr w:type="spellStart"/>
      <w:r w:rsidRPr="00D4433B">
        <w:rPr>
          <w:rStyle w:val="sb8d990e2"/>
          <w:lang w:val="ro-RO"/>
        </w:rPr>
        <w:t>no</w:t>
      </w:r>
      <w:proofErr w:type="spellEnd"/>
      <w:r w:rsidRPr="00D4433B">
        <w:rPr>
          <w:rStyle w:val="sb8d990e2"/>
          <w:lang w:val="ro-RO"/>
        </w:rPr>
        <w:t>. 31365/96, § 36, C</w:t>
      </w:r>
      <w:r w:rsidR="005E3D1E" w:rsidRPr="00D4433B">
        <w:rPr>
          <w:rStyle w:val="sb8d990e2"/>
          <w:lang w:val="ro-RO"/>
        </w:rPr>
        <w:t>EDO</w:t>
      </w:r>
      <w:r w:rsidRPr="00D4433B">
        <w:rPr>
          <w:rStyle w:val="sb8d990e2"/>
          <w:lang w:val="ro-RO"/>
        </w:rPr>
        <w:t xml:space="preserve"> 2000-X; </w:t>
      </w:r>
      <w:r w:rsidRPr="00D4433B">
        <w:rPr>
          <w:rStyle w:val="s6b621b36"/>
          <w:i/>
          <w:lang w:val="ro-RO"/>
        </w:rPr>
        <w:t xml:space="preserve">Popov </w:t>
      </w:r>
      <w:r w:rsidR="005E3D1E" w:rsidRPr="00D4433B">
        <w:rPr>
          <w:rStyle w:val="s6b621b36"/>
          <w:i/>
          <w:lang w:val="ro-RO"/>
        </w:rPr>
        <w:t>împotriva</w:t>
      </w:r>
      <w:r w:rsidRPr="00D4433B">
        <w:rPr>
          <w:rStyle w:val="s6b621b36"/>
          <w:i/>
          <w:lang w:val="ro-RO"/>
        </w:rPr>
        <w:t xml:space="preserve"> Moldov</w:t>
      </w:r>
      <w:r w:rsidR="005E3D1E" w:rsidRPr="00D4433B">
        <w:rPr>
          <w:rStyle w:val="s6b621b36"/>
          <w:i/>
          <w:lang w:val="ro-RO"/>
        </w:rPr>
        <w:t>ei</w:t>
      </w:r>
      <w:r w:rsidRPr="00D4433B">
        <w:rPr>
          <w:rStyle w:val="s6b621b36"/>
          <w:lang w:val="ro-RO"/>
        </w:rPr>
        <w:t xml:space="preserve"> (</w:t>
      </w:r>
      <w:proofErr w:type="spellStart"/>
      <w:r w:rsidRPr="00D4433B">
        <w:rPr>
          <w:rStyle w:val="s6b621b36"/>
          <w:lang w:val="ro-RO"/>
        </w:rPr>
        <w:t>no</w:t>
      </w:r>
      <w:proofErr w:type="spellEnd"/>
      <w:r w:rsidRPr="00D4433B">
        <w:rPr>
          <w:rStyle w:val="s6b621b36"/>
          <w:lang w:val="ro-RO"/>
        </w:rPr>
        <w:t>. 1)</w:t>
      </w:r>
      <w:r w:rsidRPr="00D4433B">
        <w:rPr>
          <w:rStyle w:val="sb8d990e2"/>
          <w:lang w:val="ro-RO"/>
        </w:rPr>
        <w:t xml:space="preserve">, </w:t>
      </w:r>
      <w:proofErr w:type="spellStart"/>
      <w:r w:rsidRPr="00D4433B">
        <w:rPr>
          <w:rStyle w:val="sb8d990e2"/>
          <w:lang w:val="ro-RO"/>
        </w:rPr>
        <w:t>no</w:t>
      </w:r>
      <w:proofErr w:type="spellEnd"/>
      <w:r w:rsidRPr="00D4433B">
        <w:rPr>
          <w:rStyle w:val="sb8d990e2"/>
          <w:lang w:val="ro-RO"/>
        </w:rPr>
        <w:t>. 74153/01, § 48, 18 </w:t>
      </w:r>
      <w:r w:rsidR="005E3D1E" w:rsidRPr="00D4433B">
        <w:rPr>
          <w:rStyle w:val="sb8d990e2"/>
          <w:lang w:val="ro-RO"/>
        </w:rPr>
        <w:t xml:space="preserve">ianuarie </w:t>
      </w:r>
      <w:r w:rsidRPr="00D4433B">
        <w:rPr>
          <w:rStyle w:val="sb8d990e2"/>
          <w:lang w:val="ro-RO"/>
        </w:rPr>
        <w:t xml:space="preserve">2005; </w:t>
      </w:r>
      <w:proofErr w:type="spellStart"/>
      <w:r w:rsidRPr="00D4433B">
        <w:rPr>
          <w:rStyle w:val="s6b621b36"/>
          <w:i/>
          <w:lang w:val="ro-RO"/>
        </w:rPr>
        <w:t>Rehak</w:t>
      </w:r>
      <w:proofErr w:type="spellEnd"/>
      <w:r w:rsidRPr="00D4433B">
        <w:rPr>
          <w:rStyle w:val="s6b621b36"/>
          <w:i/>
          <w:lang w:val="ro-RO"/>
        </w:rPr>
        <w:t xml:space="preserve"> </w:t>
      </w:r>
      <w:r w:rsidR="005E3D1E" w:rsidRPr="00D4433B">
        <w:rPr>
          <w:rStyle w:val="s6b621b36"/>
          <w:i/>
          <w:lang w:val="ro-RO"/>
        </w:rPr>
        <w:t>împotriva</w:t>
      </w:r>
      <w:r w:rsidRPr="00D4433B">
        <w:rPr>
          <w:rStyle w:val="s6b621b36"/>
          <w:i/>
          <w:lang w:val="ro-RO"/>
        </w:rPr>
        <w:t> Republic</w:t>
      </w:r>
      <w:r w:rsidR="005E3D1E" w:rsidRPr="00D4433B">
        <w:rPr>
          <w:rStyle w:val="s6b621b36"/>
          <w:i/>
          <w:lang w:val="ro-RO"/>
        </w:rPr>
        <w:t>ii Cehia</w:t>
      </w:r>
      <w:r w:rsidRPr="00D4433B">
        <w:rPr>
          <w:rStyle w:val="sb8d990e2"/>
          <w:lang w:val="ro-RO"/>
        </w:rPr>
        <w:t xml:space="preserve"> </w:t>
      </w:r>
      <w:r w:rsidRPr="00D4433B">
        <w:rPr>
          <w:rStyle w:val="sb8d990e2"/>
          <w:lang w:val="ro-RO"/>
        </w:rPr>
        <w:lastRenderedPageBreak/>
        <w:t xml:space="preserve">(dec.), </w:t>
      </w:r>
      <w:proofErr w:type="spellStart"/>
      <w:r w:rsidRPr="00D4433B">
        <w:rPr>
          <w:rStyle w:val="sb8d990e2"/>
          <w:lang w:val="ro-RO"/>
        </w:rPr>
        <w:t>no</w:t>
      </w:r>
      <w:proofErr w:type="spellEnd"/>
      <w:r w:rsidRPr="00D4433B">
        <w:rPr>
          <w:rStyle w:val="sb8d990e2"/>
          <w:lang w:val="ro-RO"/>
        </w:rPr>
        <w:t>. 67208/01, 18 </w:t>
      </w:r>
      <w:r w:rsidR="005E3D1E" w:rsidRPr="00D4433B">
        <w:rPr>
          <w:rStyle w:val="sb8d990e2"/>
          <w:lang w:val="ro-RO"/>
        </w:rPr>
        <w:t>mai</w:t>
      </w:r>
      <w:r w:rsidRPr="00D4433B">
        <w:rPr>
          <w:rStyle w:val="sb8d990e2"/>
          <w:lang w:val="ro-RO"/>
        </w:rPr>
        <w:t xml:space="preserve"> 2004; </w:t>
      </w:r>
      <w:r w:rsidR="005E3D1E" w:rsidRPr="00D4433B">
        <w:rPr>
          <w:rStyle w:val="sb8d990e2"/>
          <w:lang w:val="ro-RO"/>
        </w:rPr>
        <w:t xml:space="preserve">și </w:t>
      </w:r>
      <w:proofErr w:type="spellStart"/>
      <w:r w:rsidRPr="00D4433B">
        <w:rPr>
          <w:rStyle w:val="s6b621b36"/>
          <w:i/>
          <w:lang w:val="ro-RO"/>
        </w:rPr>
        <w:t>Kérétchachvili</w:t>
      </w:r>
      <w:proofErr w:type="spellEnd"/>
      <w:r w:rsidRPr="00D4433B">
        <w:rPr>
          <w:rStyle w:val="s6b621b36"/>
          <w:i/>
          <w:lang w:val="ro-RO"/>
        </w:rPr>
        <w:t xml:space="preserve"> </w:t>
      </w:r>
      <w:r w:rsidR="005E3D1E" w:rsidRPr="00D4433B">
        <w:rPr>
          <w:rStyle w:val="s6b621b36"/>
          <w:i/>
          <w:lang w:val="ro-RO"/>
        </w:rPr>
        <w:t xml:space="preserve">împotriva </w:t>
      </w:r>
      <w:r w:rsidRPr="00D4433B">
        <w:rPr>
          <w:rStyle w:val="s6b621b36"/>
          <w:i/>
          <w:lang w:val="ro-RO"/>
        </w:rPr>
        <w:t>Georgi</w:t>
      </w:r>
      <w:r w:rsidR="005E3D1E" w:rsidRPr="00D4433B">
        <w:rPr>
          <w:rStyle w:val="s6b621b36"/>
          <w:i/>
          <w:lang w:val="ro-RO"/>
        </w:rPr>
        <w:t>ei</w:t>
      </w:r>
      <w:r w:rsidRPr="00D4433B">
        <w:rPr>
          <w:rStyle w:val="sb8d990e2"/>
          <w:lang w:val="ro-RO"/>
        </w:rPr>
        <w:t xml:space="preserve"> (dec.), n</w:t>
      </w:r>
      <w:r w:rsidR="005E3D1E" w:rsidRPr="00D4433B">
        <w:rPr>
          <w:rStyle w:val="sb8d990e2"/>
          <w:lang w:val="ro-RO"/>
        </w:rPr>
        <w:t>r</w:t>
      </w:r>
      <w:r w:rsidRPr="00D4433B">
        <w:rPr>
          <w:rStyle w:val="sb8d990e2"/>
          <w:lang w:val="ro-RO"/>
        </w:rPr>
        <w:t>. 5667/02, 2 </w:t>
      </w:r>
      <w:r w:rsidR="005E3D1E" w:rsidRPr="00D4433B">
        <w:rPr>
          <w:rStyle w:val="sb8d990e2"/>
          <w:lang w:val="ro-RO"/>
        </w:rPr>
        <w:t xml:space="preserve">mai </w:t>
      </w:r>
      <w:r w:rsidRPr="00D4433B">
        <w:rPr>
          <w:rStyle w:val="sb8d990e2"/>
          <w:lang w:val="ro-RO"/>
        </w:rPr>
        <w:t xml:space="preserve">2006). </w:t>
      </w:r>
      <w:r w:rsidR="005E3D1E" w:rsidRPr="00D4433B">
        <w:rPr>
          <w:rStyle w:val="sb8d990e2"/>
          <w:lang w:val="ro-RO"/>
        </w:rPr>
        <w:t xml:space="preserve">Informațiile incomplete și, prin urmare, înșelătoare pot constitui, de asemenea, un abuz al dreptului </w:t>
      </w:r>
      <w:r w:rsidR="005734E3" w:rsidRPr="00D4433B">
        <w:rPr>
          <w:rStyle w:val="sb8d990e2"/>
          <w:lang w:val="ro-RO"/>
        </w:rPr>
        <w:t>la petiție</w:t>
      </w:r>
      <w:r w:rsidR="005E3D1E" w:rsidRPr="00D4433B">
        <w:rPr>
          <w:rStyle w:val="sb8d990e2"/>
          <w:lang w:val="ro-RO"/>
        </w:rPr>
        <w:t xml:space="preserve">, mai ales dacă informațiile privesc esența cauzei și nu se oferă explicații suficiente pentru nepublicarea acestor informații (a se vedea </w:t>
      </w:r>
      <w:proofErr w:type="spellStart"/>
      <w:r w:rsidR="005E3D1E" w:rsidRPr="00D4433B">
        <w:rPr>
          <w:rStyle w:val="sb8d990e2"/>
          <w:i/>
          <w:iCs/>
          <w:lang w:val="ro-RO"/>
        </w:rPr>
        <w:t>Hüttner</w:t>
      </w:r>
      <w:proofErr w:type="spellEnd"/>
      <w:r w:rsidR="005E3D1E" w:rsidRPr="00D4433B">
        <w:rPr>
          <w:rStyle w:val="sb8d990e2"/>
          <w:i/>
          <w:iCs/>
          <w:lang w:val="ro-RO"/>
        </w:rPr>
        <w:t xml:space="preserve"> împotriva Germaniei</w:t>
      </w:r>
      <w:r w:rsidR="005E3D1E" w:rsidRPr="00D4433B">
        <w:rPr>
          <w:rStyle w:val="sb8d990e2"/>
          <w:lang w:val="ro-RO"/>
        </w:rPr>
        <w:t xml:space="preserve"> (dec. , nr. 23130/04, 9 iunie 2006; </w:t>
      </w:r>
      <w:proofErr w:type="spellStart"/>
      <w:r w:rsidR="005E3D1E" w:rsidRPr="00D4433B">
        <w:rPr>
          <w:rStyle w:val="sb8d990e2"/>
          <w:i/>
          <w:iCs/>
          <w:lang w:val="ro-RO"/>
        </w:rPr>
        <w:t>Poznanski</w:t>
      </w:r>
      <w:proofErr w:type="spellEnd"/>
      <w:r w:rsidR="005E3D1E" w:rsidRPr="00D4433B">
        <w:rPr>
          <w:rStyle w:val="sb8d990e2"/>
          <w:i/>
          <w:iCs/>
          <w:lang w:val="ro-RO"/>
        </w:rPr>
        <w:t xml:space="preserve"> și alții împotriva Germaniei</w:t>
      </w:r>
      <w:r w:rsidR="005E3D1E" w:rsidRPr="00D4433B">
        <w:rPr>
          <w:rStyle w:val="sb8d990e2"/>
          <w:lang w:val="ro-RO"/>
        </w:rPr>
        <w:t xml:space="preserve"> (dec.), nr. 25101/05, 3 iulie 2007; </w:t>
      </w:r>
      <w:r w:rsidR="005E3D1E" w:rsidRPr="00D4433B">
        <w:rPr>
          <w:rStyle w:val="sb8d990e2"/>
          <w:i/>
          <w:iCs/>
          <w:lang w:val="ro-RO"/>
        </w:rPr>
        <w:t>Predescu împotriva României</w:t>
      </w:r>
      <w:r w:rsidR="005E3D1E" w:rsidRPr="00D4433B">
        <w:rPr>
          <w:rStyle w:val="sb8d990e2"/>
          <w:lang w:val="ro-RO"/>
        </w:rPr>
        <w:t xml:space="preserve">, nr. 21447/03, §§ 25-26, 2 Decembrie 2008; și </w:t>
      </w:r>
      <w:proofErr w:type="spellStart"/>
      <w:r w:rsidR="005E3D1E" w:rsidRPr="00D4433B">
        <w:rPr>
          <w:rStyle w:val="sb8d990e2"/>
          <w:i/>
          <w:iCs/>
          <w:lang w:val="ro-RO"/>
        </w:rPr>
        <w:t>Kowal</w:t>
      </w:r>
      <w:proofErr w:type="spellEnd"/>
      <w:r w:rsidR="005E3D1E" w:rsidRPr="00D4433B">
        <w:rPr>
          <w:rStyle w:val="sb8d990e2"/>
          <w:i/>
          <w:iCs/>
          <w:lang w:val="ro-RO"/>
        </w:rPr>
        <w:t xml:space="preserve"> împotriva Poloniei</w:t>
      </w:r>
      <w:r w:rsidR="005E3D1E" w:rsidRPr="00D4433B">
        <w:rPr>
          <w:rStyle w:val="sb8d990e2"/>
          <w:lang w:val="ro-RO"/>
        </w:rPr>
        <w:t xml:space="preserve"> (dec.), Nr. 2912/11, 18 septembrie 2012).</w:t>
      </w:r>
    </w:p>
    <w:p w14:paraId="4B773986" w14:textId="7633E974" w:rsidR="0090070F" w:rsidRPr="00D4433B" w:rsidRDefault="006D0621" w:rsidP="006D0621">
      <w:pPr>
        <w:pStyle w:val="JuPara"/>
        <w:rPr>
          <w:rStyle w:val="sb8d990e2"/>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29</w:t>
      </w:r>
      <w:r w:rsidRPr="00D4433B">
        <w:rPr>
          <w:rStyle w:val="sb8d990e2"/>
          <w:lang w:val="ro-RO"/>
        </w:rPr>
        <w:fldChar w:fldCharType="end"/>
      </w:r>
      <w:r w:rsidRPr="00D4433B">
        <w:rPr>
          <w:rStyle w:val="sb8d990e2"/>
          <w:lang w:val="ro-RO"/>
        </w:rPr>
        <w:t>.  </w:t>
      </w:r>
      <w:r w:rsidR="00BD560A" w:rsidRPr="00D4433B">
        <w:rPr>
          <w:rStyle w:val="sb8d990e2"/>
          <w:lang w:val="ro-RO"/>
        </w:rPr>
        <w:t xml:space="preserve">Curtea observă mai întâi că argumentele Guvernului nu se referă la „fapte neadevărate”. Mai degrabă, obiecția lor se bazează pe propria percepție a posibilelor intenții ale reclamanților (a se vedea, pentru o abordare similară din partea guvernului, </w:t>
      </w:r>
      <w:r w:rsidR="00BD560A" w:rsidRPr="00D4433B">
        <w:rPr>
          <w:rStyle w:val="sb8d990e2"/>
          <w:i/>
          <w:iCs/>
          <w:lang w:val="ro-RO"/>
        </w:rPr>
        <w:t xml:space="preserve">Antoni </w:t>
      </w:r>
      <w:proofErr w:type="spellStart"/>
      <w:r w:rsidR="00BD560A" w:rsidRPr="00D4433B">
        <w:rPr>
          <w:rStyle w:val="sb8d990e2"/>
          <w:i/>
          <w:iCs/>
          <w:lang w:val="ro-RO"/>
        </w:rPr>
        <w:t>Lewandowski</w:t>
      </w:r>
      <w:proofErr w:type="spellEnd"/>
      <w:r w:rsidR="00BD560A" w:rsidRPr="00D4433B">
        <w:rPr>
          <w:rStyle w:val="sb8d990e2"/>
          <w:i/>
          <w:iCs/>
          <w:lang w:val="ro-RO"/>
        </w:rPr>
        <w:t xml:space="preserve"> împotriva Poloniei</w:t>
      </w:r>
      <w:r w:rsidR="00BD560A" w:rsidRPr="00D4433B">
        <w:rPr>
          <w:rStyle w:val="sb8d990e2"/>
          <w:lang w:val="ro-RO"/>
        </w:rPr>
        <w:t>, nr. 38459/03, § 51, 2 octombrie 2012). Argumentul Guvernului echivalează cu o reformulare a propriilor observații cu privire la fondul prezentei cauze (a se vedea paragrafele 50-51 de mai jos).</w:t>
      </w:r>
    </w:p>
    <w:p w14:paraId="37E6AEE9" w14:textId="7DD7DDE2" w:rsidR="0090070F" w:rsidRPr="00D4433B" w:rsidRDefault="006D0621" w:rsidP="006D0621">
      <w:pPr>
        <w:pStyle w:val="JuPara"/>
        <w:rPr>
          <w:rStyle w:val="sb8d990e2"/>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30</w:t>
      </w:r>
      <w:r w:rsidRPr="00D4433B">
        <w:rPr>
          <w:rStyle w:val="sb8d990e2"/>
          <w:lang w:val="ro-RO"/>
        </w:rPr>
        <w:fldChar w:fldCharType="end"/>
      </w:r>
      <w:r w:rsidRPr="00D4433B">
        <w:rPr>
          <w:rStyle w:val="sb8d990e2"/>
          <w:lang w:val="ro-RO"/>
        </w:rPr>
        <w:t>.  </w:t>
      </w:r>
      <w:r w:rsidR="00BD560A" w:rsidRPr="00D4433B">
        <w:rPr>
          <w:rStyle w:val="sb8d990e2"/>
          <w:lang w:val="ro-RO"/>
        </w:rPr>
        <w:t>Prin urmare, Curtea este de părere că nu se poate spune că modul în care reclamanții și-au prezentat cazul echivalează cu un abuz al dreptului de petiție.</w:t>
      </w:r>
    </w:p>
    <w:p w14:paraId="27D0E355" w14:textId="244F094C" w:rsidR="0090070F" w:rsidRPr="00D4433B" w:rsidRDefault="00CA216C" w:rsidP="006D0621">
      <w:pPr>
        <w:pStyle w:val="JuH1"/>
        <w:rPr>
          <w:lang w:val="ro-RO"/>
        </w:rPr>
      </w:pPr>
      <w:r w:rsidRPr="00D4433B">
        <w:rPr>
          <w:lang w:val="ro-RO"/>
        </w:rPr>
        <w:t>2.  </w:t>
      </w:r>
      <w:r w:rsidR="00BD560A" w:rsidRPr="00D4433B">
        <w:rPr>
          <w:lang w:val="ro-RO"/>
        </w:rPr>
        <w:t>Statutul de victimă al reclamanților</w:t>
      </w:r>
    </w:p>
    <w:p w14:paraId="13AE00AF" w14:textId="1CD48B6E"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31</w:t>
      </w:r>
      <w:r w:rsidRPr="00D4433B">
        <w:rPr>
          <w:lang w:val="ro-RO"/>
        </w:rPr>
        <w:fldChar w:fldCharType="end"/>
      </w:r>
      <w:r w:rsidRPr="00D4433B">
        <w:rPr>
          <w:lang w:val="ro-RO"/>
        </w:rPr>
        <w:t>.  </w:t>
      </w:r>
      <w:r w:rsidR="00DE5013" w:rsidRPr="00D4433B">
        <w:rPr>
          <w:lang w:val="ro-RO"/>
        </w:rPr>
        <w:t>Guvernul a susținut că prejudiciul cauzat de articolul defăimător a fost reparat efectiv prin hotărârile instanțelor naționale din 8 mai 2002 și 24 aprilie 2003 care au admis cererea reclamanților și le-au acordat despăgubiri (a se vedea paragrafele 6 și 8 de mai sus). În opinia lor, aceste hotărâri au împiedicat reclamanții să pretindă o altă încălcare a drepturilor lor provenind din aceleași circumstanțe de fapt care au existat deja, și au fost cunoscute de reclamanți sau ar fi putut fi ușor cunoscute de către aceștia, și anume disponibilitatea articolului pe site-ul ziarului în decembrie 2000</w:t>
      </w:r>
    </w:p>
    <w:p w14:paraId="155CF405" w14:textId="345E38B2"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32</w:t>
      </w:r>
      <w:r w:rsidRPr="00D4433B">
        <w:rPr>
          <w:lang w:val="ro-RO"/>
        </w:rPr>
        <w:fldChar w:fldCharType="end"/>
      </w:r>
      <w:r w:rsidRPr="00D4433B">
        <w:rPr>
          <w:lang w:val="ro-RO"/>
        </w:rPr>
        <w:t>.  </w:t>
      </w:r>
      <w:r w:rsidR="00DE5013" w:rsidRPr="00D4433B">
        <w:rPr>
          <w:lang w:val="ro-RO"/>
        </w:rPr>
        <w:t>Guvernul nu a acceptat faptul că, disponibilitatea articolului pe site-ul web al ziarului după ce hotărârea din 24 aprilie 2003 a devenit definitivă, a constituit o încălcare separată și continuă a drepturilor reclamanților. Articolul a fost publicat online la 2 decembrie 2000, simultan cu articolul din ziar și o singură dată. Nu a mai fost niciodată modificat după aceea. Prin urmare, nu s-a putut accepta existența unei noi publicații, care ar fi putut da naștere unei noi încălcări a drepturilor reclamanților. Prin urmare, hotărârea Curții de Apel din Varșovia din 20 iulie 2006, care a confirmat hotărârea Curții Regionale din Varșovia din 28 septembrie 2005, nu ar fi putut avea un efect negativ asupra reputației reclamanților, deoarece încălcarea drepturilor lor a fost deja remediată prin hotărâri pronunțate în 2002 și 2003.</w:t>
      </w:r>
    </w:p>
    <w:p w14:paraId="2A0A315E" w14:textId="582EBE98"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33</w:t>
      </w:r>
      <w:r w:rsidRPr="00D4433B">
        <w:rPr>
          <w:lang w:val="ro-RO"/>
        </w:rPr>
        <w:fldChar w:fldCharType="end"/>
      </w:r>
      <w:r w:rsidRPr="00D4433B">
        <w:rPr>
          <w:lang w:val="ro-RO"/>
        </w:rPr>
        <w:t>.  </w:t>
      </w:r>
      <w:r w:rsidR="003D59F8" w:rsidRPr="00D4433B">
        <w:rPr>
          <w:lang w:val="ro-RO"/>
        </w:rPr>
        <w:t>Reclamanții au susținut că au obținut despăgubiri ca urmare a primei proceduri civile având ca obiect publicarea articolului în ediția tipărită a ziarului, dar nu au obținut despăgubiri în ceea ce privește a doua încălcare rezultată din prezența continuă a același articol pe site-ul ziarului.</w:t>
      </w:r>
    </w:p>
    <w:p w14:paraId="6414BCE9" w14:textId="6F43FB8C" w:rsidR="0090070F" w:rsidRPr="00D4433B" w:rsidRDefault="006D0621" w:rsidP="006D0621">
      <w:pPr>
        <w:pStyle w:val="JuPara"/>
        <w:rPr>
          <w:lang w:val="ro-RO"/>
        </w:rPr>
      </w:pPr>
      <w:r w:rsidRPr="00D4433B">
        <w:rPr>
          <w:lang w:val="ro-RO"/>
        </w:rPr>
        <w:lastRenderedPageBreak/>
        <w:fldChar w:fldCharType="begin"/>
      </w:r>
      <w:r w:rsidRPr="00D4433B">
        <w:rPr>
          <w:lang w:val="ro-RO"/>
        </w:rPr>
        <w:instrText xml:space="preserve"> SEQ level0 \*arabic </w:instrText>
      </w:r>
      <w:r w:rsidRPr="00D4433B">
        <w:rPr>
          <w:lang w:val="ro-RO"/>
        </w:rPr>
        <w:fldChar w:fldCharType="separate"/>
      </w:r>
      <w:r w:rsidR="0017292E" w:rsidRPr="00D4433B">
        <w:rPr>
          <w:lang w:val="ro-RO"/>
        </w:rPr>
        <w:t>34</w:t>
      </w:r>
      <w:r w:rsidRPr="00D4433B">
        <w:rPr>
          <w:lang w:val="ro-RO"/>
        </w:rPr>
        <w:fldChar w:fldCharType="end"/>
      </w:r>
      <w:r w:rsidRPr="00D4433B">
        <w:rPr>
          <w:lang w:val="ro-RO"/>
        </w:rPr>
        <w:t>.  </w:t>
      </w:r>
      <w:r w:rsidR="005176BA" w:rsidRPr="00D4433B">
        <w:rPr>
          <w:lang w:val="ro-RO"/>
        </w:rPr>
        <w:t>În ceea ce privește faptul că Guvernul a susținut că reclamanții nu ar putea pretinde că sunt victime în ceea ce privește primul set de proceduri civile, Curtea recunoaște că acest argument este corect. Acțiunea lor având drept obiect articolul publicat în decembrie 2000 a fost admisă în întregime. Cu toate acestea, fondul prezentei cauze în fața Curții nu se referă la primul set de proceduri și la impactul acestora asupra dreptului reclamanților la respectarea vieții lor private. Este de competența Curții să examineze plângerea potrivit căreia reclamanții nu au reușit în cadrul celui de-al doilea set de proceduri privind continuarea prezenței articolului pe site-ul web al ziarului. Curtea observă în acest sens că instanța națională a refuzat să dispună eliminarea articolului de pe site-ul web al ziarului. Prin urmare, această obiecție a Guvernului trebuie să cadă.</w:t>
      </w:r>
    </w:p>
    <w:p w14:paraId="0AA027B7" w14:textId="2A6D47E5" w:rsidR="006D0621" w:rsidRPr="00D4433B" w:rsidRDefault="00CA216C" w:rsidP="006D0621">
      <w:pPr>
        <w:pStyle w:val="JuH1"/>
        <w:rPr>
          <w:lang w:val="ro-RO"/>
        </w:rPr>
      </w:pPr>
      <w:r w:rsidRPr="00D4433B">
        <w:rPr>
          <w:lang w:val="ro-RO"/>
        </w:rPr>
        <w:t>3.  </w:t>
      </w:r>
      <w:r w:rsidR="00EC516F" w:rsidRPr="00D4433B">
        <w:rPr>
          <w:lang w:val="ro-RO"/>
        </w:rPr>
        <w:t xml:space="preserve">Termenul de prescripție de șase luni și epuizarea căilor de atac interne de către primul reclamant, dl </w:t>
      </w:r>
      <w:proofErr w:type="spellStart"/>
      <w:r w:rsidR="00EC516F" w:rsidRPr="00D4433B">
        <w:rPr>
          <w:lang w:val="ro-RO"/>
        </w:rPr>
        <w:t>Węgrzynowski</w:t>
      </w:r>
      <w:proofErr w:type="spellEnd"/>
    </w:p>
    <w:p w14:paraId="3D204EA1" w14:textId="08437973"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35</w:t>
      </w:r>
      <w:r w:rsidRPr="00D4433B">
        <w:rPr>
          <w:lang w:val="ro-RO"/>
        </w:rPr>
        <w:fldChar w:fldCharType="end"/>
      </w:r>
      <w:r w:rsidR="00CF6DB0" w:rsidRPr="00D4433B">
        <w:rPr>
          <w:lang w:val="ro-RO"/>
        </w:rPr>
        <w:t>. </w:t>
      </w:r>
      <w:r w:rsidR="00EC516F" w:rsidRPr="00D4433B">
        <w:rPr>
          <w:lang w:val="ro-RO"/>
        </w:rPr>
        <w:t>Guvernul a susținut că primul reclamant nu a respectat termenul de șase luni și nu a epuizat căile de atac interne. Decizia finală în cazul său a fost pronunțată de Curtea de Apel din Varșovia la 17 noiembrie 2006 și a fost comunicată avocatului reclamanților la 4 decembrie 2006, cu mai mult de șase luni înainte ca aceștia să introducă cauza în fața Curții la 7 august 2007.</w:t>
      </w:r>
    </w:p>
    <w:p w14:paraId="1B754457" w14:textId="790067BD"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36</w:t>
      </w:r>
      <w:r w:rsidRPr="00D4433B">
        <w:rPr>
          <w:lang w:val="ro-RO"/>
        </w:rPr>
        <w:fldChar w:fldCharType="end"/>
      </w:r>
      <w:r w:rsidRPr="00D4433B">
        <w:rPr>
          <w:lang w:val="ro-RO"/>
        </w:rPr>
        <w:t>.  </w:t>
      </w:r>
      <w:r w:rsidR="00EC516F" w:rsidRPr="00D4433B">
        <w:rPr>
          <w:lang w:val="ro-RO"/>
        </w:rPr>
        <w:t>Reclamanții nu au abordat acest aspect al dosarului</w:t>
      </w:r>
      <w:r w:rsidRPr="00D4433B">
        <w:rPr>
          <w:lang w:val="ro-RO"/>
        </w:rPr>
        <w:t>.</w:t>
      </w:r>
    </w:p>
    <w:p w14:paraId="62DDAE73" w14:textId="77777777" w:rsidR="00EC516F" w:rsidRPr="00D4433B" w:rsidRDefault="006D0621" w:rsidP="00EC516F">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37</w:t>
      </w:r>
      <w:r w:rsidRPr="00D4433B">
        <w:rPr>
          <w:lang w:val="ro-RO"/>
        </w:rPr>
        <w:fldChar w:fldCharType="end"/>
      </w:r>
      <w:r w:rsidRPr="00D4433B">
        <w:rPr>
          <w:lang w:val="ro-RO"/>
        </w:rPr>
        <w:t>.  </w:t>
      </w:r>
      <w:r w:rsidR="00EC516F" w:rsidRPr="00D4433B">
        <w:rPr>
          <w:lang w:val="ro-RO"/>
        </w:rPr>
        <w:t xml:space="preserve">Curtea constată că, la 3 noiembrie 2006, Curtea de Apel din Varșovia a solicitat reclamanților să clarifice dacă apelul de casare împotriva hotărârii de apel a fost introdus în fața acelei instanțe în numele unuia sau ambilor reclamanți. În replică, avocatul reclamanților a afirmat că apelul a fost făcut în numele celui de-al doilea reclamant. Prin urmare, la 17 noiembrie 2006, instanța a respins recursul în măsura în care se referea la primul reclamant. Această decizie a fost comunicată avocatului reclamanților la 4 decembrie 2006. </w:t>
      </w:r>
    </w:p>
    <w:p w14:paraId="27E87453" w14:textId="21B46596"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38</w:t>
      </w:r>
      <w:r w:rsidRPr="00D4433B">
        <w:rPr>
          <w:lang w:val="ro-RO"/>
        </w:rPr>
        <w:fldChar w:fldCharType="end"/>
      </w:r>
      <w:r w:rsidRPr="00D4433B">
        <w:rPr>
          <w:lang w:val="ro-RO"/>
        </w:rPr>
        <w:t>.  </w:t>
      </w:r>
      <w:r w:rsidR="00EC516F" w:rsidRPr="00D4433B">
        <w:rPr>
          <w:lang w:val="ro-RO"/>
        </w:rPr>
        <w:t xml:space="preserve">Prin urmare, termenul de șase luni pentru depunerea unei cereri la Curte, astfel cum este definit de </w:t>
      </w:r>
      <w:r w:rsidR="00D4433B" w:rsidRPr="00D4433B">
        <w:rPr>
          <w:lang w:val="ro-RO"/>
        </w:rPr>
        <w:t>Articol</w:t>
      </w:r>
      <w:r w:rsidR="00EC516F" w:rsidRPr="00D4433B">
        <w:rPr>
          <w:lang w:val="ro-RO"/>
        </w:rPr>
        <w:t>ul 35 § 1 din Convenție, a expirat la 5 iunie 2007, în timp ce cererea a fost depusă la Curte la 7 august 2007. Astfel, cererea cu privire la primul reclamant trebuie declarată inadmisibilă pentru nerespectarea termenului de șase luni și, în orice caz, și pentru nerespectarea căilor de atac interne, întrucât nu a depus un recurs de casare la Curtea Supremă.</w:t>
      </w:r>
    </w:p>
    <w:p w14:paraId="1BC34CE0" w14:textId="32E97E97"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39</w:t>
      </w:r>
      <w:r w:rsidRPr="00D4433B">
        <w:rPr>
          <w:lang w:val="ro-RO"/>
        </w:rPr>
        <w:fldChar w:fldCharType="end"/>
      </w:r>
      <w:r w:rsidRPr="00D4433B">
        <w:rPr>
          <w:lang w:val="ro-RO"/>
        </w:rPr>
        <w:t>. </w:t>
      </w:r>
      <w:r w:rsidR="00D67520" w:rsidRPr="00D4433B">
        <w:rPr>
          <w:lang w:val="ro-RO"/>
        </w:rPr>
        <w:t xml:space="preserve">Rezultă că cererea, în măsura în care se referă la primul solicitant, a fost introdusă după prescripția termenului și trebuie respinsă în conformitate cu </w:t>
      </w:r>
      <w:r w:rsidR="00D4433B" w:rsidRPr="00D4433B">
        <w:rPr>
          <w:lang w:val="ro-RO"/>
        </w:rPr>
        <w:t>Articol</w:t>
      </w:r>
      <w:r w:rsidR="00D67520" w:rsidRPr="00D4433B">
        <w:rPr>
          <w:lang w:val="ro-RO"/>
        </w:rPr>
        <w:t>ul 35 §§ 1 și 4 din Convenție.</w:t>
      </w:r>
    </w:p>
    <w:p w14:paraId="2E68F41C" w14:textId="14C3FB74" w:rsidR="006D0621" w:rsidRPr="00D4433B" w:rsidRDefault="00CA216C" w:rsidP="006D0621">
      <w:pPr>
        <w:pStyle w:val="JuH1"/>
        <w:rPr>
          <w:lang w:val="ro-RO"/>
        </w:rPr>
      </w:pPr>
      <w:r w:rsidRPr="00D4433B">
        <w:rPr>
          <w:lang w:val="ro-RO"/>
        </w:rPr>
        <w:lastRenderedPageBreak/>
        <w:t>4.  </w:t>
      </w:r>
      <w:r w:rsidR="00D67520" w:rsidRPr="00D4433B">
        <w:rPr>
          <w:lang w:val="ro-RO"/>
        </w:rPr>
        <w:t>Epuizarea căilor interne de atac cu privire la al doilea reclamant</w:t>
      </w:r>
      <w:r w:rsidR="006D0621" w:rsidRPr="00D4433B">
        <w:rPr>
          <w:lang w:val="ro-RO"/>
        </w:rPr>
        <w:t xml:space="preserve">, </w:t>
      </w:r>
      <w:r w:rsidR="00D67520" w:rsidRPr="00D4433B">
        <w:rPr>
          <w:lang w:val="ro-RO"/>
        </w:rPr>
        <w:t xml:space="preserve">Dl. </w:t>
      </w:r>
      <w:proofErr w:type="spellStart"/>
      <w:r w:rsidR="006D0621" w:rsidRPr="00D4433B">
        <w:rPr>
          <w:lang w:val="ro-RO"/>
        </w:rPr>
        <w:t>Smolczewski</w:t>
      </w:r>
      <w:proofErr w:type="spellEnd"/>
    </w:p>
    <w:p w14:paraId="0B699BA2" w14:textId="6855BAD5" w:rsidR="0090070F" w:rsidRPr="00D4433B" w:rsidRDefault="006D0621" w:rsidP="006D0621">
      <w:pPr>
        <w:pStyle w:val="JuPara"/>
        <w:tabs>
          <w:tab w:val="left" w:pos="3686"/>
        </w:tabs>
        <w:rPr>
          <w:lang w:val="ro-RO"/>
        </w:rPr>
      </w:pPr>
      <w:r w:rsidRPr="00D4433B">
        <w:rPr>
          <w:rStyle w:val="sb8d990e2"/>
          <w:szCs w:val="24"/>
          <w:lang w:val="ro-RO"/>
        </w:rPr>
        <w:fldChar w:fldCharType="begin"/>
      </w:r>
      <w:r w:rsidRPr="00D4433B">
        <w:rPr>
          <w:rStyle w:val="sb8d990e2"/>
          <w:szCs w:val="24"/>
          <w:lang w:val="ro-RO"/>
        </w:rPr>
        <w:instrText xml:space="preserve"> SEQ level0 \*arabic </w:instrText>
      </w:r>
      <w:r w:rsidRPr="00D4433B">
        <w:rPr>
          <w:rStyle w:val="sb8d990e2"/>
          <w:szCs w:val="24"/>
          <w:lang w:val="ro-RO"/>
        </w:rPr>
        <w:fldChar w:fldCharType="separate"/>
      </w:r>
      <w:r w:rsidR="0017292E" w:rsidRPr="00D4433B">
        <w:rPr>
          <w:rStyle w:val="sb8d990e2"/>
          <w:szCs w:val="24"/>
          <w:lang w:val="ro-RO"/>
        </w:rPr>
        <w:t>40</w:t>
      </w:r>
      <w:r w:rsidRPr="00D4433B">
        <w:rPr>
          <w:rStyle w:val="sb8d990e2"/>
          <w:szCs w:val="24"/>
          <w:lang w:val="ro-RO"/>
        </w:rPr>
        <w:fldChar w:fldCharType="end"/>
      </w:r>
      <w:r w:rsidRPr="00D4433B">
        <w:rPr>
          <w:rStyle w:val="sb8d990e2"/>
          <w:szCs w:val="24"/>
          <w:lang w:val="ro-RO"/>
        </w:rPr>
        <w:t>.  </w:t>
      </w:r>
      <w:r w:rsidR="002A14D9" w:rsidRPr="00D4433B">
        <w:rPr>
          <w:rStyle w:val="sb8d990e2"/>
          <w:szCs w:val="24"/>
          <w:lang w:val="ro-RO"/>
        </w:rPr>
        <w:t>Guvernul a susținut că al doilea reclamant nu a epuizat toate căile de atac interne disponibile. Avea posibilitatea să se adreseze instanțelor naționale pentru a solicita o interdicție provizorie (</w:t>
      </w:r>
      <w:proofErr w:type="spellStart"/>
      <w:r w:rsidR="002A14D9" w:rsidRPr="00D4433B">
        <w:rPr>
          <w:rStyle w:val="sb8d990e2"/>
          <w:i/>
          <w:iCs/>
          <w:szCs w:val="24"/>
          <w:lang w:val="ro-RO"/>
        </w:rPr>
        <w:t>zabezpieczenie</w:t>
      </w:r>
      <w:proofErr w:type="spellEnd"/>
      <w:r w:rsidR="002A14D9" w:rsidRPr="00D4433B">
        <w:rPr>
          <w:rStyle w:val="sb8d990e2"/>
          <w:i/>
          <w:iCs/>
          <w:szCs w:val="24"/>
          <w:lang w:val="ro-RO"/>
        </w:rPr>
        <w:t xml:space="preserve"> </w:t>
      </w:r>
      <w:proofErr w:type="spellStart"/>
      <w:r w:rsidR="002A14D9" w:rsidRPr="00D4433B">
        <w:rPr>
          <w:rStyle w:val="sb8d990e2"/>
          <w:i/>
          <w:iCs/>
          <w:szCs w:val="24"/>
          <w:lang w:val="ro-RO"/>
        </w:rPr>
        <w:t>powództwa</w:t>
      </w:r>
      <w:proofErr w:type="spellEnd"/>
      <w:r w:rsidR="002A14D9" w:rsidRPr="00D4433B">
        <w:rPr>
          <w:rStyle w:val="sb8d990e2"/>
          <w:szCs w:val="24"/>
          <w:lang w:val="ro-RO"/>
        </w:rPr>
        <w:t xml:space="preserve">) în temeiul </w:t>
      </w:r>
      <w:r w:rsidR="00D4433B" w:rsidRPr="00D4433B">
        <w:rPr>
          <w:rStyle w:val="sb8d990e2"/>
          <w:szCs w:val="24"/>
          <w:lang w:val="ro-RO"/>
        </w:rPr>
        <w:t>Articol</w:t>
      </w:r>
      <w:r w:rsidR="002A14D9" w:rsidRPr="00D4433B">
        <w:rPr>
          <w:rStyle w:val="sb8d990e2"/>
          <w:szCs w:val="24"/>
          <w:lang w:val="ro-RO"/>
        </w:rPr>
        <w:t xml:space="preserve">ului 730 § 1 din Codul de procedură civilă. Avea posibilitatea de a solicita, de exemplu, adăugarea la </w:t>
      </w:r>
      <w:r w:rsidR="00D4433B" w:rsidRPr="00D4433B">
        <w:rPr>
          <w:rStyle w:val="sb8d990e2"/>
          <w:szCs w:val="24"/>
          <w:lang w:val="ro-RO"/>
        </w:rPr>
        <w:t>articol</w:t>
      </w:r>
      <w:r w:rsidR="002A14D9" w:rsidRPr="00D4433B">
        <w:rPr>
          <w:rStyle w:val="sb8d990e2"/>
          <w:szCs w:val="24"/>
          <w:lang w:val="ro-RO"/>
        </w:rPr>
        <w:t xml:space="preserve">ul de pe website a unei note de subsol temporare sau a unui comentariu care să informeze orice cititor despre procedura judiciară. Guvernul a făcut referire la concluziile Curții în sensul că o astfel de notificare temporară ar „înlătura în mod normal orice </w:t>
      </w:r>
      <w:r w:rsidR="0062000F" w:rsidRPr="00D4433B">
        <w:rPr>
          <w:rStyle w:val="sb8d990e2"/>
          <w:szCs w:val="24"/>
          <w:lang w:val="ro-RO"/>
        </w:rPr>
        <w:t xml:space="preserve">defăimare adusă de </w:t>
      </w:r>
      <w:r w:rsidR="002A14D9" w:rsidRPr="00D4433B">
        <w:rPr>
          <w:rStyle w:val="sb8d990e2"/>
          <w:szCs w:val="24"/>
          <w:lang w:val="ro-RO"/>
        </w:rPr>
        <w:t xml:space="preserve">material” (bazându-se pe cazul Times </w:t>
      </w:r>
      <w:proofErr w:type="spellStart"/>
      <w:r w:rsidR="002A14D9" w:rsidRPr="00D4433B">
        <w:rPr>
          <w:rStyle w:val="sb8d990e2"/>
          <w:szCs w:val="24"/>
          <w:lang w:val="ro-RO"/>
        </w:rPr>
        <w:t>Newspapers</w:t>
      </w:r>
      <w:proofErr w:type="spellEnd"/>
      <w:r w:rsidR="002A14D9" w:rsidRPr="00D4433B">
        <w:rPr>
          <w:rStyle w:val="sb8d990e2"/>
          <w:szCs w:val="24"/>
          <w:lang w:val="ro-RO"/>
        </w:rPr>
        <w:t xml:space="preserve"> Ltd împotriva Regatului Unit (nr. 1 și 2), nr. 3002/03 și 23676/03, § 47, CEDO 2009).</w:t>
      </w:r>
    </w:p>
    <w:p w14:paraId="6D8457F0" w14:textId="1DA4B515"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41</w:t>
      </w:r>
      <w:r w:rsidRPr="00D4433B">
        <w:rPr>
          <w:lang w:val="ro-RO"/>
        </w:rPr>
        <w:fldChar w:fldCharType="end"/>
      </w:r>
      <w:r w:rsidRPr="00D4433B">
        <w:rPr>
          <w:lang w:val="ro-RO"/>
        </w:rPr>
        <w:t>.  </w:t>
      </w:r>
      <w:r w:rsidR="002A14D9" w:rsidRPr="00D4433B">
        <w:rPr>
          <w:lang w:val="ro-RO"/>
        </w:rPr>
        <w:t>Guvernul a mai susținut că al doilea reclamant ar fi trebuit să recurgă la procedura de rectificare (</w:t>
      </w:r>
      <w:proofErr w:type="spellStart"/>
      <w:r w:rsidR="002A14D9" w:rsidRPr="00D4433B">
        <w:rPr>
          <w:i/>
          <w:iCs/>
          <w:lang w:val="ro-RO"/>
        </w:rPr>
        <w:t>sprostowanie</w:t>
      </w:r>
      <w:proofErr w:type="spellEnd"/>
      <w:r w:rsidR="002A14D9" w:rsidRPr="00D4433B">
        <w:rPr>
          <w:lang w:val="ro-RO"/>
        </w:rPr>
        <w:t xml:space="preserve">) prevăzută de </w:t>
      </w:r>
      <w:r w:rsidR="00D4433B" w:rsidRPr="00D4433B">
        <w:rPr>
          <w:lang w:val="ro-RO"/>
        </w:rPr>
        <w:t>Articol</w:t>
      </w:r>
      <w:r w:rsidR="002A14D9" w:rsidRPr="00D4433B">
        <w:rPr>
          <w:lang w:val="ro-RO"/>
        </w:rPr>
        <w:t>ul 31 din Legea presei (a se vedea paragraful 23 de mai sus). Această prevedere a fost concepută pentru a oferi unei persoane afectate negativ de un articol de presă posibilitatea de a solicita editorului să publice, în mod gratuit și într-un loc și o formă corespunzătoare, declarația sa abordând și rectificând conținutul articolului original. Cu toate acestea, al doilea reclamant nu a recurs la acest remediu.</w:t>
      </w:r>
    </w:p>
    <w:p w14:paraId="092E73F9" w14:textId="18F9C7E8"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42</w:t>
      </w:r>
      <w:r w:rsidRPr="00D4433B">
        <w:rPr>
          <w:lang w:val="ro-RO"/>
        </w:rPr>
        <w:fldChar w:fldCharType="end"/>
      </w:r>
      <w:r w:rsidRPr="00D4433B">
        <w:rPr>
          <w:lang w:val="ro-RO"/>
        </w:rPr>
        <w:t>.  </w:t>
      </w:r>
      <w:r w:rsidR="002A14D9" w:rsidRPr="00D4433B">
        <w:rPr>
          <w:lang w:val="ro-RO"/>
        </w:rPr>
        <w:t xml:space="preserve">Al doilea reclamant nu a achiesat la opiniile </w:t>
      </w:r>
      <w:r w:rsidRPr="00D4433B">
        <w:rPr>
          <w:lang w:val="ro-RO"/>
        </w:rPr>
        <w:t>G</w:t>
      </w:r>
      <w:r w:rsidR="002A14D9" w:rsidRPr="00D4433B">
        <w:rPr>
          <w:lang w:val="ro-RO"/>
        </w:rPr>
        <w:t>u</w:t>
      </w:r>
      <w:r w:rsidRPr="00D4433B">
        <w:rPr>
          <w:lang w:val="ro-RO"/>
        </w:rPr>
        <w:t>vern</w:t>
      </w:r>
      <w:r w:rsidR="002A14D9" w:rsidRPr="00D4433B">
        <w:rPr>
          <w:lang w:val="ro-RO"/>
        </w:rPr>
        <w:t>ului</w:t>
      </w:r>
      <w:r w:rsidRPr="00D4433B">
        <w:rPr>
          <w:lang w:val="ro-RO"/>
        </w:rPr>
        <w:t>.</w:t>
      </w:r>
    </w:p>
    <w:p w14:paraId="5623CC95" w14:textId="397F5B7E" w:rsidR="0090070F" w:rsidRPr="00D4433B" w:rsidRDefault="006D0621" w:rsidP="006D0621">
      <w:pPr>
        <w:pStyle w:val="JuPara"/>
        <w:rPr>
          <w:rStyle w:val="sb8d990e2"/>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43</w:t>
      </w:r>
      <w:r w:rsidRPr="00D4433B">
        <w:rPr>
          <w:lang w:val="ro-RO"/>
        </w:rPr>
        <w:fldChar w:fldCharType="end"/>
      </w:r>
      <w:r w:rsidRPr="00D4433B">
        <w:rPr>
          <w:lang w:val="ro-RO"/>
        </w:rPr>
        <w:t>.  </w:t>
      </w:r>
      <w:r w:rsidR="002A14D9" w:rsidRPr="00D4433B">
        <w:rPr>
          <w:rStyle w:val="sb8d990e2"/>
          <w:lang w:val="ro-RO"/>
        </w:rPr>
        <w:t xml:space="preserve">Articolul 35 § 1 din Convenție prevede că singurele căi de atac care trebuie epuizate sunt cele care sunt disponibile și suficiente pentru a permite despăgubiri cu privire la încălcările pretinse. Scopul </w:t>
      </w:r>
      <w:r w:rsidR="00D4433B" w:rsidRPr="00D4433B">
        <w:rPr>
          <w:rStyle w:val="sb8d990e2"/>
          <w:lang w:val="ro-RO"/>
        </w:rPr>
        <w:t>Articol</w:t>
      </w:r>
      <w:r w:rsidR="002A14D9" w:rsidRPr="00D4433B">
        <w:rPr>
          <w:rStyle w:val="sb8d990e2"/>
          <w:lang w:val="ro-RO"/>
        </w:rPr>
        <w:t xml:space="preserve">ului 35 § 1 este de a oferi statelor contractante posibilitatea de a preveni sau de a corecta încălcările invocate împotriva lor înainte ca acuzațiile respective să fie supuse spre soluționare Curții (a se vedea, printre altele, </w:t>
      </w:r>
      <w:proofErr w:type="spellStart"/>
      <w:r w:rsidR="002A14D9" w:rsidRPr="00D4433B">
        <w:rPr>
          <w:rStyle w:val="sb8d990e2"/>
          <w:i/>
          <w:iCs/>
          <w:lang w:val="ro-RO"/>
        </w:rPr>
        <w:t>Selmouni</w:t>
      </w:r>
      <w:proofErr w:type="spellEnd"/>
      <w:r w:rsidR="002A14D9" w:rsidRPr="00D4433B">
        <w:rPr>
          <w:rStyle w:val="sb8d990e2"/>
          <w:i/>
          <w:iCs/>
          <w:lang w:val="ro-RO"/>
        </w:rPr>
        <w:t xml:space="preserve"> împotriva Franței</w:t>
      </w:r>
      <w:r w:rsidR="002A14D9" w:rsidRPr="00D4433B">
        <w:rPr>
          <w:rStyle w:val="sb8d990e2"/>
          <w:lang w:val="ro-RO"/>
        </w:rPr>
        <w:t xml:space="preserve"> [</w:t>
      </w:r>
      <w:proofErr w:type="spellStart"/>
      <w:r w:rsidR="002A14D9" w:rsidRPr="00D4433B">
        <w:rPr>
          <w:rStyle w:val="sb8d990e2"/>
          <w:lang w:val="ro-RO"/>
        </w:rPr>
        <w:t>GC</w:t>
      </w:r>
      <w:proofErr w:type="spellEnd"/>
      <w:r w:rsidR="002A14D9" w:rsidRPr="00D4433B">
        <w:rPr>
          <w:rStyle w:val="sb8d990e2"/>
          <w:lang w:val="ro-RO"/>
        </w:rPr>
        <w:t>], nr. 25803 / 94, § 74, CEDO 1999-V).</w:t>
      </w:r>
    </w:p>
    <w:p w14:paraId="366C41A7" w14:textId="38E8F39C" w:rsidR="006D0621" w:rsidRPr="00D4433B" w:rsidRDefault="006D0621" w:rsidP="006D0621">
      <w:pPr>
        <w:pStyle w:val="JuPara"/>
        <w:rPr>
          <w:rStyle w:val="sb8d990e2"/>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44</w:t>
      </w:r>
      <w:r w:rsidRPr="00D4433B">
        <w:rPr>
          <w:rStyle w:val="sb8d990e2"/>
          <w:lang w:val="ro-RO"/>
        </w:rPr>
        <w:fldChar w:fldCharType="end"/>
      </w:r>
      <w:r w:rsidRPr="00D4433B">
        <w:rPr>
          <w:rStyle w:val="sb8d990e2"/>
          <w:lang w:val="ro-RO"/>
        </w:rPr>
        <w:t>.  </w:t>
      </w:r>
      <w:r w:rsidR="002A14D9" w:rsidRPr="00D4433B">
        <w:rPr>
          <w:rStyle w:val="sb8d990e2"/>
          <w:lang w:val="ro-RO"/>
        </w:rPr>
        <w:t xml:space="preserve">Existența remediilor în cauză trebuie să fie suficient de sigură nu numai în teorie, ci și în practică, în caz contrar, acestea nu vor oferi accesibilitatea și eficacitatea necesare (a se vedea, printre alte autorități, </w:t>
      </w:r>
      <w:proofErr w:type="spellStart"/>
      <w:r w:rsidR="002A14D9" w:rsidRPr="00D4433B">
        <w:rPr>
          <w:rStyle w:val="sb8d990e2"/>
          <w:i/>
          <w:iCs/>
          <w:lang w:val="ro-RO"/>
        </w:rPr>
        <w:t>Orchowski</w:t>
      </w:r>
      <w:proofErr w:type="spellEnd"/>
      <w:r w:rsidR="002A14D9" w:rsidRPr="00D4433B">
        <w:rPr>
          <w:rStyle w:val="sb8d990e2"/>
          <w:i/>
          <w:iCs/>
          <w:lang w:val="ro-RO"/>
        </w:rPr>
        <w:t xml:space="preserve"> împotriva Poloniei</w:t>
      </w:r>
      <w:r w:rsidR="002A14D9" w:rsidRPr="00D4433B">
        <w:rPr>
          <w:rStyle w:val="sb8d990e2"/>
          <w:lang w:val="ro-RO"/>
        </w:rPr>
        <w:t xml:space="preserve">, nr. 17885/04, § 105, 22 octombrie 2009 și </w:t>
      </w:r>
      <w:r w:rsidR="002A14D9" w:rsidRPr="00D4433B">
        <w:rPr>
          <w:rStyle w:val="sb8d990e2"/>
          <w:i/>
          <w:iCs/>
          <w:lang w:val="ro-RO"/>
        </w:rPr>
        <w:t xml:space="preserve">Norbert </w:t>
      </w:r>
      <w:proofErr w:type="spellStart"/>
      <w:r w:rsidR="002A14D9" w:rsidRPr="00D4433B">
        <w:rPr>
          <w:rStyle w:val="sb8d990e2"/>
          <w:i/>
          <w:iCs/>
          <w:lang w:val="ro-RO"/>
        </w:rPr>
        <w:t>Sikorski</w:t>
      </w:r>
      <w:proofErr w:type="spellEnd"/>
      <w:r w:rsidR="002A14D9" w:rsidRPr="00D4433B">
        <w:rPr>
          <w:rStyle w:val="sb8d990e2"/>
          <w:i/>
          <w:iCs/>
          <w:lang w:val="ro-RO"/>
        </w:rPr>
        <w:t xml:space="preserve"> împotriva Poloniei</w:t>
      </w:r>
      <w:r w:rsidR="002A14D9" w:rsidRPr="00D4433B">
        <w:rPr>
          <w:rStyle w:val="sb8d990e2"/>
          <w:lang w:val="ro-RO"/>
        </w:rPr>
        <w:t>, nr. 17599/05, § 108, 22 octombrie 2009). Dezvoltarea și disponibilitatea unui remediu despre care se spune că există, inclusiv domeniul său de aplicare și aplicarea acestuia, trebuie să fie clar stabilite și confirmate sau completate de practică sau jurisprudență (</w:t>
      </w:r>
      <w:proofErr w:type="spellStart"/>
      <w:r w:rsidR="002A14D9" w:rsidRPr="00D4433B">
        <w:rPr>
          <w:rStyle w:val="sb8d990e2"/>
          <w:i/>
          <w:iCs/>
          <w:lang w:val="ro-RO"/>
        </w:rPr>
        <w:t>Mikolajová</w:t>
      </w:r>
      <w:proofErr w:type="spellEnd"/>
      <w:r w:rsidR="002A14D9" w:rsidRPr="00D4433B">
        <w:rPr>
          <w:rStyle w:val="sb8d990e2"/>
          <w:i/>
          <w:iCs/>
          <w:lang w:val="ro-RO"/>
        </w:rPr>
        <w:t xml:space="preserve"> împotriva Slovaciei</w:t>
      </w:r>
      <w:r w:rsidR="002A14D9" w:rsidRPr="00D4433B">
        <w:rPr>
          <w:rStyle w:val="sb8d990e2"/>
          <w:lang w:val="ro-RO"/>
        </w:rPr>
        <w:t xml:space="preserve">, nr. 4479/03, § 34, 18 ianuarie 2011 ). Argumentele unui guvern au mai multă greutate dacă sunt furnizate exemple relevante din jurisprudența națională (a se vedea </w:t>
      </w:r>
      <w:proofErr w:type="spellStart"/>
      <w:r w:rsidR="002A14D9" w:rsidRPr="00D4433B">
        <w:rPr>
          <w:rStyle w:val="sb8d990e2"/>
          <w:i/>
          <w:iCs/>
          <w:lang w:val="ro-RO"/>
        </w:rPr>
        <w:t>Sakhnovskiy</w:t>
      </w:r>
      <w:proofErr w:type="spellEnd"/>
      <w:r w:rsidR="002A14D9" w:rsidRPr="00D4433B">
        <w:rPr>
          <w:rStyle w:val="sb8d990e2"/>
          <w:i/>
          <w:iCs/>
          <w:lang w:val="ro-RO"/>
        </w:rPr>
        <w:t xml:space="preserve"> împotriva Rusiei</w:t>
      </w:r>
      <w:r w:rsidR="002A14D9" w:rsidRPr="00D4433B">
        <w:rPr>
          <w:rStyle w:val="sb8d990e2"/>
          <w:lang w:val="ro-RO"/>
        </w:rPr>
        <w:t xml:space="preserve"> [</w:t>
      </w:r>
      <w:proofErr w:type="spellStart"/>
      <w:r w:rsidR="002A14D9" w:rsidRPr="00D4433B">
        <w:rPr>
          <w:rStyle w:val="sb8d990e2"/>
          <w:lang w:val="ro-RO"/>
        </w:rPr>
        <w:t>GC</w:t>
      </w:r>
      <w:proofErr w:type="spellEnd"/>
      <w:r w:rsidR="002A14D9" w:rsidRPr="00D4433B">
        <w:rPr>
          <w:rStyle w:val="sb8d990e2"/>
          <w:lang w:val="ro-RO"/>
        </w:rPr>
        <w:t xml:space="preserve">], §§ 43 44, 2 noiembrie 2010 și </w:t>
      </w:r>
      <w:proofErr w:type="spellStart"/>
      <w:r w:rsidR="002A14D9" w:rsidRPr="00D4433B">
        <w:rPr>
          <w:rStyle w:val="sb8d990e2"/>
          <w:i/>
          <w:iCs/>
          <w:lang w:val="ro-RO"/>
        </w:rPr>
        <w:t>Toziczka</w:t>
      </w:r>
      <w:proofErr w:type="spellEnd"/>
      <w:r w:rsidR="002A14D9" w:rsidRPr="00D4433B">
        <w:rPr>
          <w:rStyle w:val="sb8d990e2"/>
          <w:i/>
          <w:iCs/>
          <w:lang w:val="ro-RO"/>
        </w:rPr>
        <w:t xml:space="preserve"> împotriva Poloniei</w:t>
      </w:r>
      <w:r w:rsidR="002A14D9" w:rsidRPr="00D4433B">
        <w:rPr>
          <w:rStyle w:val="sb8d990e2"/>
          <w:lang w:val="ro-RO"/>
        </w:rPr>
        <w:t>, nr. 29995/08, § 26, 24 iulie 2012).</w:t>
      </w:r>
    </w:p>
    <w:p w14:paraId="3AF6CEBB" w14:textId="3A7B47A4" w:rsidR="0090070F" w:rsidRPr="00D4433B" w:rsidRDefault="006D0621" w:rsidP="00FC109C">
      <w:pPr>
        <w:pStyle w:val="JuPara"/>
        <w:rPr>
          <w:szCs w:val="24"/>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45</w:t>
      </w:r>
      <w:r w:rsidRPr="00D4433B">
        <w:rPr>
          <w:rStyle w:val="sb8d990e2"/>
          <w:lang w:val="ro-RO"/>
        </w:rPr>
        <w:fldChar w:fldCharType="end"/>
      </w:r>
      <w:r w:rsidRPr="00D4433B">
        <w:rPr>
          <w:rStyle w:val="sb8d990e2"/>
          <w:lang w:val="ro-RO"/>
        </w:rPr>
        <w:t>.  </w:t>
      </w:r>
      <w:r w:rsidR="00FC109C" w:rsidRPr="00D4433B">
        <w:rPr>
          <w:rStyle w:val="sb8d990e2"/>
          <w:lang w:val="ro-RO"/>
        </w:rPr>
        <w:t xml:space="preserve">Revenind la circumstanțele prezentei cauze, Curtea reține că Guvernul nu a reușit să aducă dovezi din jurisprudența instanțelor naționale sau </w:t>
      </w:r>
      <w:r w:rsidR="00FC109C" w:rsidRPr="00D4433B">
        <w:rPr>
          <w:rStyle w:val="sb8d990e2"/>
          <w:lang w:val="ro-RO"/>
        </w:rPr>
        <w:lastRenderedPageBreak/>
        <w:t xml:space="preserve">exemple din practica mass-media pentru a arăta că o cerere de rectificare în temeiul </w:t>
      </w:r>
      <w:r w:rsidR="00D4433B" w:rsidRPr="00D4433B">
        <w:rPr>
          <w:rStyle w:val="sb8d990e2"/>
          <w:lang w:val="ro-RO"/>
        </w:rPr>
        <w:t>Articol</w:t>
      </w:r>
      <w:r w:rsidR="00FC109C" w:rsidRPr="00D4433B">
        <w:rPr>
          <w:rStyle w:val="sb8d990e2"/>
          <w:lang w:val="ro-RO"/>
        </w:rPr>
        <w:t>ului 31 din Legea presei a fost folosită vreodată cu succes pentru a elimina sau corecta un articol defăimător prezent pe site-ul web al unui ziar, prin adăugarea unei trimiteri la o hotărâre care îl consideră defăimător.</w:t>
      </w:r>
    </w:p>
    <w:p w14:paraId="2965A717" w14:textId="4413939B" w:rsidR="0090070F" w:rsidRPr="00D4433B" w:rsidRDefault="00C253D1" w:rsidP="006D0621">
      <w:pPr>
        <w:pStyle w:val="JuPara"/>
        <w:rPr>
          <w:lang w:val="ro-RO"/>
        </w:rPr>
      </w:pPr>
      <w:r w:rsidRPr="00D4433B">
        <w:rPr>
          <w:lang w:val="ro-RO"/>
        </w:rPr>
        <w:t>În ceea ce privește cererea de solicitare a unei măsuri provizorii menționată de Guvern, Curtea observă că cererea de eliminare a articolului care face obiectul acțiunii de pe site-ul web al ziarului constituia esența acțiunii civile a reclamantului. Această cerere a eșuat. Prin urmare, nu s-a demonstrat în mod convingător că o cerere identică depusă în cursul procedurii pentru o măsură provizorie și care vizează eliminarea temporară a articolului respectiv de pe site, până la adoptarea unei decizii privind fondul cauzei, a oferit orice perspective de succes. În orice caz, nu au fost prezentate exemple de practică internă relevantă. Prin urmare, această parte a obiecției preliminare a Guvernului cade.</w:t>
      </w:r>
    </w:p>
    <w:p w14:paraId="3BC7D7F3" w14:textId="6B8C8463"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46</w:t>
      </w:r>
      <w:r w:rsidRPr="00D4433B">
        <w:rPr>
          <w:lang w:val="ro-RO"/>
        </w:rPr>
        <w:fldChar w:fldCharType="end"/>
      </w:r>
      <w:r w:rsidRPr="00D4433B">
        <w:rPr>
          <w:lang w:val="ro-RO"/>
        </w:rPr>
        <w:t>.  </w:t>
      </w:r>
      <w:r w:rsidRPr="00D4433B">
        <w:rPr>
          <w:sz w:val="22"/>
          <w:szCs w:val="22"/>
          <w:lang w:val="ro-RO"/>
        </w:rPr>
        <w:tab/>
      </w:r>
      <w:r w:rsidR="00C253D1" w:rsidRPr="00D4433B">
        <w:rPr>
          <w:lang w:val="ro-RO"/>
        </w:rPr>
        <w:t xml:space="preserve">Guvernul a fost, de asemenea, de părere că reclamantul nu a reușit să recurgă la </w:t>
      </w:r>
      <w:r w:rsidR="00D4433B" w:rsidRPr="00D4433B">
        <w:rPr>
          <w:lang w:val="ro-RO"/>
        </w:rPr>
        <w:t>Articol</w:t>
      </w:r>
      <w:r w:rsidR="00C253D1" w:rsidRPr="00D4433B">
        <w:rPr>
          <w:lang w:val="ro-RO"/>
        </w:rPr>
        <w:t>ele 23 și 24 din Codul civil, întrucât nu a formulat în mod corespunzător cererea civilă inițială. El ar fi putut solicita instanței să ordone persoanei responsabile pentru presupusa încălcare să elimine versiunea online a articolului și să contracareze efectele acestuia.</w:t>
      </w:r>
    </w:p>
    <w:p w14:paraId="7CB460C3" w14:textId="1EA630A2" w:rsidR="0090070F" w:rsidRPr="00D4433B" w:rsidRDefault="006D0621" w:rsidP="006D0621">
      <w:pPr>
        <w:pStyle w:val="JuPara"/>
        <w:rPr>
          <w:rStyle w:val="sb8d990e2"/>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47</w:t>
      </w:r>
      <w:r w:rsidRPr="00D4433B">
        <w:rPr>
          <w:rStyle w:val="sb8d990e2"/>
          <w:lang w:val="ro-RO"/>
        </w:rPr>
        <w:fldChar w:fldCharType="end"/>
      </w:r>
      <w:r w:rsidRPr="00D4433B">
        <w:rPr>
          <w:rStyle w:val="sb8d990e2"/>
          <w:lang w:val="ro-RO"/>
        </w:rPr>
        <w:t>.  </w:t>
      </w:r>
      <w:r w:rsidR="00C253D1" w:rsidRPr="00D4433B">
        <w:rPr>
          <w:rStyle w:val="sb8d990e2"/>
          <w:lang w:val="ro-RO"/>
        </w:rPr>
        <w:t>Curtea observă că Guvernul a reiterat același argument atunci când a abordat fondul cererii (a se vedea paragrafele 50 51 de mai jos). Curtea constată că această parte a obiecției guvernului este o chestiune care ține de fondul cauzei.</w:t>
      </w:r>
    </w:p>
    <w:p w14:paraId="2EF110BA" w14:textId="5602AD54" w:rsidR="0090070F" w:rsidRPr="00D4433B" w:rsidRDefault="00CA216C" w:rsidP="006D0621">
      <w:pPr>
        <w:pStyle w:val="JuH1"/>
        <w:rPr>
          <w:lang w:val="ro-RO"/>
        </w:rPr>
      </w:pPr>
      <w:r w:rsidRPr="00D4433B">
        <w:rPr>
          <w:lang w:val="ro-RO"/>
        </w:rPr>
        <w:t>5.  </w:t>
      </w:r>
      <w:r w:rsidR="006D0621" w:rsidRPr="00D4433B">
        <w:rPr>
          <w:lang w:val="ro-RO"/>
        </w:rPr>
        <w:t>Conclu</w:t>
      </w:r>
      <w:r w:rsidR="00C253D1" w:rsidRPr="00D4433B">
        <w:rPr>
          <w:lang w:val="ro-RO"/>
        </w:rPr>
        <w:t>zii</w:t>
      </w:r>
    </w:p>
    <w:p w14:paraId="711B7B05" w14:textId="3FA7B1C9" w:rsidR="006D0621"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48</w:t>
      </w:r>
      <w:r w:rsidRPr="00D4433B">
        <w:rPr>
          <w:lang w:val="ro-RO"/>
        </w:rPr>
        <w:fldChar w:fldCharType="end"/>
      </w:r>
      <w:r w:rsidRPr="00D4433B">
        <w:rPr>
          <w:lang w:val="ro-RO"/>
        </w:rPr>
        <w:t>.  </w:t>
      </w:r>
      <w:r w:rsidR="00C253D1" w:rsidRPr="00D4433B">
        <w:rPr>
          <w:lang w:val="ro-RO"/>
        </w:rPr>
        <w:t xml:space="preserve">Curtea constată că cererea depusă de cel de-al doilea reclamant nu este vădit nefondată în sensul </w:t>
      </w:r>
      <w:r w:rsidR="00D4433B" w:rsidRPr="00D4433B">
        <w:rPr>
          <w:lang w:val="ro-RO"/>
        </w:rPr>
        <w:t>Articol</w:t>
      </w:r>
      <w:r w:rsidR="00C253D1" w:rsidRPr="00D4433B">
        <w:rPr>
          <w:lang w:val="ro-RO"/>
        </w:rPr>
        <w:t>ului 35 § 3 (a) din Convenție. În plus, aceasta menționează că nu este inadmisibilă din alte motive. Prin urmare, trebuie declarată admisibilă.</w:t>
      </w:r>
    </w:p>
    <w:p w14:paraId="464B6BA6" w14:textId="6A241E5B" w:rsidR="006D0621" w:rsidRPr="00D4433B" w:rsidRDefault="006D0621" w:rsidP="006D0621">
      <w:pPr>
        <w:pStyle w:val="JuHA"/>
        <w:outlineLvl w:val="0"/>
        <w:rPr>
          <w:lang w:val="ro-RO"/>
        </w:rPr>
      </w:pPr>
      <w:r w:rsidRPr="00D4433B">
        <w:rPr>
          <w:lang w:val="ro-RO"/>
        </w:rPr>
        <w:t>B.  </w:t>
      </w:r>
      <w:r w:rsidR="00C253D1" w:rsidRPr="00D4433B">
        <w:rPr>
          <w:lang w:val="ro-RO"/>
        </w:rPr>
        <w:t>Fondul acțiunii</w:t>
      </w:r>
    </w:p>
    <w:p w14:paraId="566D8A75" w14:textId="349CA304" w:rsidR="006D0621" w:rsidRPr="00D4433B" w:rsidRDefault="00CA216C" w:rsidP="006D0621">
      <w:pPr>
        <w:pStyle w:val="JuH1"/>
        <w:rPr>
          <w:lang w:val="ro-RO"/>
        </w:rPr>
      </w:pPr>
      <w:r w:rsidRPr="00D4433B">
        <w:rPr>
          <w:lang w:val="ro-RO"/>
        </w:rPr>
        <w:t>1.  </w:t>
      </w:r>
      <w:r w:rsidR="00C253D1" w:rsidRPr="00D4433B">
        <w:rPr>
          <w:lang w:val="ro-RO"/>
        </w:rPr>
        <w:t xml:space="preserve">Observațiile </w:t>
      </w:r>
      <w:proofErr w:type="spellStart"/>
      <w:r w:rsidR="00C253D1" w:rsidRPr="00D4433B">
        <w:rPr>
          <w:lang w:val="ro-RO"/>
        </w:rPr>
        <w:t>părțiilor</w:t>
      </w:r>
      <w:proofErr w:type="spellEnd"/>
    </w:p>
    <w:p w14:paraId="43658B76" w14:textId="2EF71CDE"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49</w:t>
      </w:r>
      <w:r w:rsidRPr="00D4433B">
        <w:rPr>
          <w:lang w:val="ro-RO"/>
        </w:rPr>
        <w:fldChar w:fldCharType="end"/>
      </w:r>
      <w:r w:rsidR="00CA216C" w:rsidRPr="00D4433B">
        <w:rPr>
          <w:lang w:val="ro-RO"/>
        </w:rPr>
        <w:t>.  </w:t>
      </w:r>
      <w:r w:rsidR="00AF612C" w:rsidRPr="00D4433B">
        <w:rPr>
          <w:lang w:val="ro-RO"/>
        </w:rPr>
        <w:t xml:space="preserve">Al doilea reclamant a susținut că drepturile sale la respectarea vieții sale private și a reputației sale au fost încălcate ca urmare a celui de-al doilea set de proceduri civile. Autoritățile judiciare nu și-au îndeplinit obligația pozitivă de a aplica legea într-un mod care să îi permită obținerea protecției efective a drepturilor sale în temeiul </w:t>
      </w:r>
      <w:r w:rsidR="00D4433B" w:rsidRPr="00D4433B">
        <w:rPr>
          <w:lang w:val="ro-RO"/>
        </w:rPr>
        <w:t>Articol</w:t>
      </w:r>
      <w:r w:rsidR="00AF612C" w:rsidRPr="00D4433B">
        <w:rPr>
          <w:lang w:val="ro-RO"/>
        </w:rPr>
        <w:t>ului 8 din Convenție. Aceste drepturi au fost încălcate ca urmare a prezenței continue pe site-ul ziarului a unui articol care fusese deja constatat de instanțe că încălca drepturile reclamantului care intră în sfera acestei dispoziții.</w:t>
      </w:r>
    </w:p>
    <w:p w14:paraId="29A4095B" w14:textId="019005FF" w:rsidR="0090070F" w:rsidRPr="00D4433B" w:rsidRDefault="006D0621" w:rsidP="006D0621">
      <w:pPr>
        <w:pStyle w:val="JuPara"/>
        <w:rPr>
          <w:lang w:val="ro-RO"/>
        </w:rPr>
      </w:pPr>
      <w:r w:rsidRPr="00D4433B">
        <w:rPr>
          <w:lang w:val="ro-RO"/>
        </w:rPr>
        <w:lastRenderedPageBreak/>
        <w:fldChar w:fldCharType="begin"/>
      </w:r>
      <w:r w:rsidRPr="00D4433B">
        <w:rPr>
          <w:lang w:val="ro-RO"/>
        </w:rPr>
        <w:instrText xml:space="preserve"> SEQ level0 \*arabic </w:instrText>
      </w:r>
      <w:r w:rsidRPr="00D4433B">
        <w:rPr>
          <w:lang w:val="ro-RO"/>
        </w:rPr>
        <w:fldChar w:fldCharType="separate"/>
      </w:r>
      <w:r w:rsidR="0017292E" w:rsidRPr="00D4433B">
        <w:rPr>
          <w:lang w:val="ro-RO"/>
        </w:rPr>
        <w:t>50</w:t>
      </w:r>
      <w:r w:rsidRPr="00D4433B">
        <w:rPr>
          <w:lang w:val="ro-RO"/>
        </w:rPr>
        <w:fldChar w:fldCharType="end"/>
      </w:r>
      <w:r w:rsidRPr="00D4433B">
        <w:rPr>
          <w:lang w:val="ro-RO"/>
        </w:rPr>
        <w:t>.  </w:t>
      </w:r>
      <w:r w:rsidR="00AF612C" w:rsidRPr="00D4433B">
        <w:rPr>
          <w:lang w:val="ro-RO"/>
        </w:rPr>
        <w:t>Guvernul a susținut că, deși articolul publicat la 2 decembrie 2000 a încălcat drepturile reclamantului, prejudiciul cauzat de această încălcare a fost efectiv reparat prin hotărârile din 8 mai 2002 și 24 aprilie 2003 care au admis cererea și au acordat despăgubiri. Aceste hotărâri au împiedicat reclamantul să pretindă o altă încălcare a drepturilor sale provenind din aceleași circumstanțe de fapt care existau deja anterior acestor hotărâri și care fuseseră cunoscute sau ar fi putut fi ușor cunoscute reclamantului, și anume existența articolului din site-ul web în decembrie 2000.</w:t>
      </w:r>
    </w:p>
    <w:p w14:paraId="1507B995" w14:textId="1087E9D8" w:rsidR="0090070F" w:rsidRPr="00D4433B" w:rsidRDefault="006D0621" w:rsidP="006D0621">
      <w:pPr>
        <w:pStyle w:val="JuPara"/>
        <w:rPr>
          <w:szCs w:val="24"/>
          <w:lang w:val="ro-RO"/>
        </w:rPr>
      </w:pPr>
      <w:r w:rsidRPr="00D4433B">
        <w:rPr>
          <w:szCs w:val="24"/>
          <w:lang w:val="ro-RO"/>
        </w:rPr>
        <w:fldChar w:fldCharType="begin"/>
      </w:r>
      <w:r w:rsidRPr="00D4433B">
        <w:rPr>
          <w:szCs w:val="24"/>
          <w:lang w:val="ro-RO"/>
        </w:rPr>
        <w:instrText xml:space="preserve"> SEQ level0 \*arabic </w:instrText>
      </w:r>
      <w:r w:rsidRPr="00D4433B">
        <w:rPr>
          <w:szCs w:val="24"/>
          <w:lang w:val="ro-RO"/>
        </w:rPr>
        <w:fldChar w:fldCharType="separate"/>
      </w:r>
      <w:r w:rsidR="0017292E" w:rsidRPr="00D4433B">
        <w:rPr>
          <w:szCs w:val="24"/>
          <w:lang w:val="ro-RO"/>
        </w:rPr>
        <w:t>51</w:t>
      </w:r>
      <w:r w:rsidRPr="00D4433B">
        <w:rPr>
          <w:szCs w:val="24"/>
          <w:lang w:val="ro-RO"/>
        </w:rPr>
        <w:fldChar w:fldCharType="end"/>
      </w:r>
      <w:r w:rsidRPr="00D4433B">
        <w:rPr>
          <w:szCs w:val="24"/>
          <w:lang w:val="ro-RO"/>
        </w:rPr>
        <w:t>.  </w:t>
      </w:r>
      <w:r w:rsidR="00AF612C" w:rsidRPr="00D4433B">
        <w:rPr>
          <w:szCs w:val="24"/>
          <w:lang w:val="ro-RO"/>
        </w:rPr>
        <w:t>Faptul că articolul a rămas pe site-ul web al ziarului după încheierea primului set de proceduri nu a însemnat o încălcare separată, dat fiind că a fost publicat simultan cu ediția tipărită a ziarului. Prin urmare, nu a existat nicio „nouă publicație” care să dea naștere unei noi încălcări a drepturilor sale. Reclamantul ar fi putut solicita rectificarea articolului sau publicarea unei note de subsol sau a unei scuze care să acopere versiunea pe internet a articolului în timpul primei proceduri judiciare. Reclamantul a acționat neglijent în formularea primei sale cereri.</w:t>
      </w:r>
    </w:p>
    <w:p w14:paraId="64675494" w14:textId="03E3732B" w:rsidR="006D0621" w:rsidRPr="00D4433B" w:rsidRDefault="006D0621" w:rsidP="006D0621">
      <w:pPr>
        <w:pStyle w:val="JuPara"/>
        <w:rPr>
          <w:b/>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52</w:t>
      </w:r>
      <w:r w:rsidRPr="00D4433B">
        <w:rPr>
          <w:lang w:val="ro-RO"/>
        </w:rPr>
        <w:fldChar w:fldCharType="end"/>
      </w:r>
      <w:r w:rsidRPr="00D4433B">
        <w:rPr>
          <w:lang w:val="ro-RO"/>
        </w:rPr>
        <w:t>.  </w:t>
      </w:r>
      <w:r w:rsidR="00AF612C" w:rsidRPr="00D4433B">
        <w:rPr>
          <w:lang w:val="ro-RO"/>
        </w:rPr>
        <w:t xml:space="preserve">Guvernul a fost de părere că acceptarea abordării propuse de cel de-al doilea reclamant ar putea duce la răspunderea continuă a ziarului. Oricine ar putea introduce o acțiune împotriva unui editor al unui material de pe internet ori de câte ori a aflat despre acesta, indiferent de data la care materialul contestat a fost publicat pe site-ul web relevant. O astfel de incertitudine ar fi disproporționată și ar putea avea un efect negativ asupra jurnaliștilor și editorilor. Guvernul a făcut referire la cazul Times </w:t>
      </w:r>
      <w:proofErr w:type="spellStart"/>
      <w:r w:rsidR="00AF612C" w:rsidRPr="00D4433B">
        <w:rPr>
          <w:lang w:val="ro-RO"/>
        </w:rPr>
        <w:t>Newspapers</w:t>
      </w:r>
      <w:proofErr w:type="spellEnd"/>
      <w:r w:rsidR="00AF612C" w:rsidRPr="00D4433B">
        <w:rPr>
          <w:lang w:val="ro-RO"/>
        </w:rPr>
        <w:t xml:space="preserve"> Ltd (citat mai sus). Curtea a considerat că, deși unui reclamant vătămat trebuie să i se ofere o oportunitate reală de a-și afirma dreptul de a-și proteja reputația, procedurile de calomnie intentate împotriva unui ziar după o perioadă semnificativă de timp ar putea, în absența unor circumstanțe excepționale, să dea naștere unei interferențe disproporționate în libertatea presei în temeiul </w:t>
      </w:r>
      <w:r w:rsidR="00D4433B" w:rsidRPr="00D4433B">
        <w:rPr>
          <w:lang w:val="ro-RO"/>
        </w:rPr>
        <w:t>Articol</w:t>
      </w:r>
      <w:r w:rsidR="00AF612C" w:rsidRPr="00D4433B">
        <w:rPr>
          <w:lang w:val="ro-RO"/>
        </w:rPr>
        <w:t>ului 10. În opinia guvernului, astfel de „circumstanțe excepționale” nu existau în cazul de față.</w:t>
      </w:r>
    </w:p>
    <w:p w14:paraId="6B24AE98" w14:textId="6679033E" w:rsidR="0090070F" w:rsidRPr="00D4433B" w:rsidRDefault="00CA216C" w:rsidP="006D0621">
      <w:pPr>
        <w:pStyle w:val="JuH1"/>
        <w:rPr>
          <w:lang w:val="ro-RO"/>
        </w:rPr>
      </w:pPr>
      <w:r w:rsidRPr="00D4433B">
        <w:rPr>
          <w:lang w:val="ro-RO"/>
        </w:rPr>
        <w:t>2.  </w:t>
      </w:r>
      <w:r w:rsidR="00B65CD5" w:rsidRPr="00D4433B">
        <w:rPr>
          <w:lang w:val="ro-RO"/>
        </w:rPr>
        <w:t>Analiza Curții</w:t>
      </w:r>
    </w:p>
    <w:p w14:paraId="794AEE95" w14:textId="5CD6CBD4" w:rsidR="006D0621" w:rsidRPr="00D4433B" w:rsidRDefault="006D0621" w:rsidP="006D0621">
      <w:pPr>
        <w:pStyle w:val="JuPara"/>
        <w:rPr>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53</w:t>
      </w:r>
      <w:r w:rsidRPr="00D4433B">
        <w:rPr>
          <w:rStyle w:val="sb8d990e2"/>
          <w:lang w:val="ro-RO"/>
        </w:rPr>
        <w:fldChar w:fldCharType="end"/>
      </w:r>
      <w:r w:rsidRPr="00D4433B">
        <w:rPr>
          <w:rStyle w:val="sb8d990e2"/>
          <w:lang w:val="ro-RO"/>
        </w:rPr>
        <w:t>.  </w:t>
      </w:r>
      <w:r w:rsidR="00CE4F21" w:rsidRPr="00D4433B">
        <w:rPr>
          <w:rStyle w:val="sb8d990e2"/>
          <w:lang w:val="ro-RO"/>
        </w:rPr>
        <w:t xml:space="preserve">Obiectul esențial al </w:t>
      </w:r>
      <w:r w:rsidR="00D4433B" w:rsidRPr="00D4433B">
        <w:rPr>
          <w:rStyle w:val="sb8d990e2"/>
          <w:lang w:val="ro-RO"/>
        </w:rPr>
        <w:t>Articol</w:t>
      </w:r>
      <w:r w:rsidR="00CE4F21" w:rsidRPr="00D4433B">
        <w:rPr>
          <w:rStyle w:val="sb8d990e2"/>
          <w:lang w:val="ro-RO"/>
        </w:rPr>
        <w:t xml:space="preserve">ului 8 al Convenției este protejarea individului împotriva interferenței arbitrare a autorităților publice. Orice ingerință în temeiul </w:t>
      </w:r>
      <w:r w:rsidR="00D4433B" w:rsidRPr="00D4433B">
        <w:rPr>
          <w:rStyle w:val="sb8d990e2"/>
          <w:lang w:val="ro-RO"/>
        </w:rPr>
        <w:t>Articol</w:t>
      </w:r>
      <w:r w:rsidR="00CE4F21" w:rsidRPr="00D4433B">
        <w:rPr>
          <w:rStyle w:val="sb8d990e2"/>
          <w:lang w:val="ro-RO"/>
        </w:rPr>
        <w:t xml:space="preserve">ului 8 primul paragraf trebuie justificată în termenii celui de-al doilea paragraf ca fiind „în conformitate cu legea” și „necesară într-o societate democratică” pentru unul sau mai multe dintre obiectivele legitime enumerate în acesta. Conform jurisprudenței constante a Curții, noțiunea de necesitate implică faptul că ingerința corespunde unei nevoi sociale presante și, în special, că este proporțională cu unul dintre obiectivele legitime urmărite de autorități (a se vedea, printre alte autorități, </w:t>
      </w:r>
      <w:proofErr w:type="spellStart"/>
      <w:r w:rsidR="00CE4F21" w:rsidRPr="00D4433B">
        <w:rPr>
          <w:rStyle w:val="sb8d990e2"/>
          <w:i/>
          <w:iCs/>
          <w:lang w:val="ro-RO"/>
        </w:rPr>
        <w:t>Olsson</w:t>
      </w:r>
      <w:proofErr w:type="spellEnd"/>
      <w:r w:rsidR="00CE4F21" w:rsidRPr="00D4433B">
        <w:rPr>
          <w:rStyle w:val="sb8d990e2"/>
          <w:i/>
          <w:iCs/>
          <w:lang w:val="ro-RO"/>
        </w:rPr>
        <w:t xml:space="preserve"> împotriva Suediei</w:t>
      </w:r>
      <w:r w:rsidR="00CE4F21" w:rsidRPr="00D4433B">
        <w:rPr>
          <w:rStyle w:val="sb8d990e2"/>
          <w:lang w:val="ro-RO"/>
        </w:rPr>
        <w:t xml:space="preserve"> (nr. 1), 24 martie 1988, § 67, seria A nr. 130).</w:t>
      </w:r>
    </w:p>
    <w:p w14:paraId="4AAFC396" w14:textId="6CC42922" w:rsidR="006D0621" w:rsidRPr="00D4433B" w:rsidRDefault="006D0621" w:rsidP="006D0621">
      <w:pPr>
        <w:pStyle w:val="JuPara"/>
        <w:rPr>
          <w:i/>
          <w:lang w:val="ro-RO" w:eastAsia="en-US"/>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54</w:t>
      </w:r>
      <w:r w:rsidRPr="00D4433B">
        <w:rPr>
          <w:rStyle w:val="sb8d990e2"/>
          <w:lang w:val="ro-RO"/>
        </w:rPr>
        <w:fldChar w:fldCharType="end"/>
      </w:r>
      <w:r w:rsidRPr="00D4433B">
        <w:rPr>
          <w:rStyle w:val="sb8d990e2"/>
          <w:lang w:val="ro-RO"/>
        </w:rPr>
        <w:t>.  </w:t>
      </w:r>
      <w:r w:rsidR="00CE4F21" w:rsidRPr="00D4433B">
        <w:rPr>
          <w:rStyle w:val="sb8d990e2"/>
          <w:lang w:val="ro-RO"/>
        </w:rPr>
        <w:t xml:space="preserve">În plus, pot exista și obligații pozitive inerente „respectului” efectiv pentru viața privată. Aceste obligații pot implica adoptarea de măsuri menite </w:t>
      </w:r>
      <w:r w:rsidR="00CE4F21" w:rsidRPr="00D4433B">
        <w:rPr>
          <w:rStyle w:val="sb8d990e2"/>
          <w:lang w:val="ro-RO"/>
        </w:rPr>
        <w:lastRenderedPageBreak/>
        <w:t xml:space="preserve">să asigure respectarea vieții private chiar și în sfera relațiilor dintre indivizi, incluzând atât furnizarea unui cadru de reglementare a instrumentelor judecătorești și de aplicare a legii care să protejeze drepturile indivizilor, cât și punerea în aplicare, după caz, a măsuri specifice (a se vedea, printre alte autorități, </w:t>
      </w:r>
      <w:r w:rsidR="00CE4F21" w:rsidRPr="00D4433B">
        <w:rPr>
          <w:rStyle w:val="sb8d990e2"/>
          <w:i/>
          <w:iCs/>
          <w:lang w:val="ro-RO"/>
        </w:rPr>
        <w:t>X și Y împotriva Olandei</w:t>
      </w:r>
      <w:r w:rsidR="00CE4F21" w:rsidRPr="00D4433B">
        <w:rPr>
          <w:rStyle w:val="sb8d990e2"/>
          <w:lang w:val="ro-RO"/>
        </w:rPr>
        <w:t xml:space="preserve">, 26 martie 1985, § 23, seria A nr. 91 și </w:t>
      </w:r>
      <w:proofErr w:type="spellStart"/>
      <w:r w:rsidR="00CE4F21" w:rsidRPr="00D4433B">
        <w:rPr>
          <w:rStyle w:val="sb8d990e2"/>
          <w:i/>
          <w:iCs/>
          <w:lang w:val="ro-RO"/>
        </w:rPr>
        <w:t>RR</w:t>
      </w:r>
      <w:proofErr w:type="spellEnd"/>
      <w:r w:rsidR="00CE4F21" w:rsidRPr="00D4433B">
        <w:rPr>
          <w:rStyle w:val="sb8d990e2"/>
          <w:i/>
          <w:iCs/>
          <w:lang w:val="ro-RO"/>
        </w:rPr>
        <w:t xml:space="preserve"> împotriva Poloniei</w:t>
      </w:r>
      <w:r w:rsidR="00CE4F21" w:rsidRPr="00D4433B">
        <w:rPr>
          <w:rStyle w:val="sb8d990e2"/>
          <w:lang w:val="ro-RO"/>
        </w:rPr>
        <w:t>, nr. 27617/04, §§ 183-184, CEDO 2011 (extrase)).</w:t>
      </w:r>
    </w:p>
    <w:p w14:paraId="53EF3C44" w14:textId="363F1313" w:rsidR="0090070F" w:rsidRPr="00D4433B" w:rsidRDefault="006D0621" w:rsidP="006D0621">
      <w:pPr>
        <w:pStyle w:val="JuPara"/>
        <w:rPr>
          <w:lang w:val="ro-RO" w:eastAsia="en-US"/>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55</w:t>
      </w:r>
      <w:r w:rsidRPr="00D4433B">
        <w:rPr>
          <w:rStyle w:val="sb8d990e2"/>
          <w:lang w:val="ro-RO"/>
        </w:rPr>
        <w:fldChar w:fldCharType="end"/>
      </w:r>
      <w:r w:rsidRPr="00D4433B">
        <w:rPr>
          <w:rStyle w:val="sb8d990e2"/>
          <w:lang w:val="ro-RO"/>
        </w:rPr>
        <w:t>.  </w:t>
      </w:r>
      <w:r w:rsidR="00CE4F21" w:rsidRPr="00D4433B">
        <w:rPr>
          <w:rStyle w:val="sb8d990e2"/>
          <w:lang w:val="ro-RO"/>
        </w:rPr>
        <w:t xml:space="preserve">Noțiunea de „respect” pentru viața privată în sensul </w:t>
      </w:r>
      <w:r w:rsidR="00D4433B" w:rsidRPr="00D4433B">
        <w:rPr>
          <w:rStyle w:val="sb8d990e2"/>
          <w:lang w:val="ro-RO"/>
        </w:rPr>
        <w:t>Articol</w:t>
      </w:r>
      <w:r w:rsidR="00CE4F21" w:rsidRPr="00D4433B">
        <w:rPr>
          <w:rStyle w:val="sb8d990e2"/>
          <w:lang w:val="ro-RO"/>
        </w:rPr>
        <w:t xml:space="preserve">ului 8 al Convenției în scopul obligațiilor pozitive ale statului nu este clară. Având în vedere diversitatea practicilor urmate și a situațiilor obținute în statele contractante, cerințele noțiunii vor varia considerabil de la caz la caz. În consecință, acesta este un domeniu în care părțile contractante se bucură de o largă marjă de apreciere în stabilirea măsurilor care trebuie luate pentru a asigura respectarea Convenției, ținând seama de nevoile și resursele comunității și ale persoanelor. Cu toate acestea, </w:t>
      </w:r>
      <w:r w:rsidR="00D4433B" w:rsidRPr="00D4433B">
        <w:rPr>
          <w:rStyle w:val="sb8d990e2"/>
          <w:lang w:val="ro-RO"/>
        </w:rPr>
        <w:t>Articol</w:t>
      </w:r>
      <w:r w:rsidR="00CE4F21" w:rsidRPr="00D4433B">
        <w:rPr>
          <w:rStyle w:val="sb8d990e2"/>
          <w:lang w:val="ro-RO"/>
        </w:rPr>
        <w:t xml:space="preserve">ul 8, ca orice altă dispoziție a Convenției sau a protocoalelor sale, trebuie interpretat astfel încât să garanteze nu drepturi teoretice sau iluzorii, ci drepturi practice și eficiente (a se vedea </w:t>
      </w:r>
      <w:proofErr w:type="spellStart"/>
      <w:r w:rsidR="00CE4F21" w:rsidRPr="00D4433B">
        <w:rPr>
          <w:rStyle w:val="sb8d990e2"/>
          <w:i/>
          <w:iCs/>
          <w:lang w:val="ro-RO"/>
        </w:rPr>
        <w:t>Armonienė</w:t>
      </w:r>
      <w:proofErr w:type="spellEnd"/>
      <w:r w:rsidR="00CE4F21" w:rsidRPr="00D4433B">
        <w:rPr>
          <w:rStyle w:val="sb8d990e2"/>
          <w:i/>
          <w:iCs/>
          <w:lang w:val="ro-RO"/>
        </w:rPr>
        <w:t xml:space="preserve"> </w:t>
      </w:r>
      <w:r w:rsidR="00261ADC" w:rsidRPr="00D4433B">
        <w:rPr>
          <w:rStyle w:val="sb8d990e2"/>
          <w:i/>
          <w:iCs/>
          <w:lang w:val="ro-RO"/>
        </w:rPr>
        <w:t>împotriva</w:t>
      </w:r>
      <w:r w:rsidR="00CE4F21" w:rsidRPr="00D4433B">
        <w:rPr>
          <w:rStyle w:val="sb8d990e2"/>
          <w:i/>
          <w:iCs/>
          <w:lang w:val="ro-RO"/>
        </w:rPr>
        <w:t xml:space="preserve"> Lituani</w:t>
      </w:r>
      <w:r w:rsidR="00261ADC" w:rsidRPr="00D4433B">
        <w:rPr>
          <w:rStyle w:val="sb8d990e2"/>
          <w:i/>
          <w:iCs/>
          <w:lang w:val="ro-RO"/>
        </w:rPr>
        <w:t>ei</w:t>
      </w:r>
      <w:r w:rsidR="00CE4F21" w:rsidRPr="00D4433B">
        <w:rPr>
          <w:rStyle w:val="sb8d990e2"/>
          <w:lang w:val="ro-RO"/>
        </w:rPr>
        <w:t xml:space="preserve">, nr. 36919 / 02, § 38, 25 noiembrie 2008 și </w:t>
      </w:r>
      <w:proofErr w:type="spellStart"/>
      <w:r w:rsidR="00CE4F21" w:rsidRPr="00D4433B">
        <w:rPr>
          <w:rStyle w:val="sb8d990e2"/>
          <w:i/>
          <w:iCs/>
          <w:lang w:val="ro-RO"/>
        </w:rPr>
        <w:t>Biriuk</w:t>
      </w:r>
      <w:proofErr w:type="spellEnd"/>
      <w:r w:rsidR="00CE4F21" w:rsidRPr="00D4433B">
        <w:rPr>
          <w:rStyle w:val="sb8d990e2"/>
          <w:i/>
          <w:iCs/>
          <w:lang w:val="ro-RO"/>
        </w:rPr>
        <w:t xml:space="preserve"> împotriva Lituaniei</w:t>
      </w:r>
      <w:r w:rsidR="00CE4F21" w:rsidRPr="00D4433B">
        <w:rPr>
          <w:rStyle w:val="sb8d990e2"/>
          <w:lang w:val="ro-RO"/>
        </w:rPr>
        <w:t>, nr. 23373/03, § 37, 25 noiembrie 2008).</w:t>
      </w:r>
    </w:p>
    <w:p w14:paraId="1BE7D053" w14:textId="267DAFF6" w:rsidR="0090070F" w:rsidRPr="00D4433B" w:rsidRDefault="006D0621" w:rsidP="009305B9">
      <w:pPr>
        <w:pStyle w:val="JuPara"/>
        <w:rPr>
          <w:snapToGrid w:val="0"/>
          <w:szCs w:val="24"/>
          <w:lang w:val="ro-RO" w:eastAsia="en-US"/>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56</w:t>
      </w:r>
      <w:r w:rsidRPr="00D4433B">
        <w:rPr>
          <w:rStyle w:val="sb8d990e2"/>
          <w:lang w:val="ro-RO"/>
        </w:rPr>
        <w:fldChar w:fldCharType="end"/>
      </w:r>
      <w:r w:rsidRPr="00D4433B">
        <w:rPr>
          <w:rStyle w:val="sb8d990e2"/>
          <w:lang w:val="ro-RO"/>
        </w:rPr>
        <w:t>.  </w:t>
      </w:r>
      <w:r w:rsidR="00261ADC" w:rsidRPr="00D4433B">
        <w:rPr>
          <w:rStyle w:val="sb8d990e2"/>
          <w:lang w:val="ro-RO"/>
        </w:rPr>
        <w:t xml:space="preserve">În special, în cazurile referitoare la publicații de ziare, Curtea a susținut anterior că protecția vieții private trebuie să fie pusă în balanță, printre altele, cu libertatea de exprimare garantată de </w:t>
      </w:r>
      <w:r w:rsidR="00D4433B" w:rsidRPr="00D4433B">
        <w:rPr>
          <w:rStyle w:val="sb8d990e2"/>
          <w:lang w:val="ro-RO"/>
        </w:rPr>
        <w:t>Articol</w:t>
      </w:r>
      <w:r w:rsidR="00261ADC" w:rsidRPr="00D4433B">
        <w:rPr>
          <w:rStyle w:val="sb8d990e2"/>
          <w:lang w:val="ro-RO"/>
        </w:rPr>
        <w:t xml:space="preserve">ul 10 al Convenției (a se vedea </w:t>
      </w:r>
      <w:proofErr w:type="spellStart"/>
      <w:r w:rsidR="00261ADC" w:rsidRPr="00D4433B">
        <w:rPr>
          <w:rStyle w:val="sb8d990e2"/>
          <w:i/>
          <w:iCs/>
          <w:lang w:val="ro-RO"/>
        </w:rPr>
        <w:t>Karakó</w:t>
      </w:r>
      <w:proofErr w:type="spellEnd"/>
      <w:r w:rsidR="00261ADC" w:rsidRPr="00D4433B">
        <w:rPr>
          <w:rStyle w:val="sb8d990e2"/>
          <w:i/>
          <w:iCs/>
          <w:lang w:val="ro-RO"/>
        </w:rPr>
        <w:t xml:space="preserve"> împotriva Ungariei</w:t>
      </w:r>
      <w:r w:rsidR="00261ADC" w:rsidRPr="00D4433B">
        <w:rPr>
          <w:rStyle w:val="sb8d990e2"/>
          <w:lang w:val="ro-RO"/>
        </w:rPr>
        <w:t xml:space="preserve">, nr. 39311/05, § 26, 28 aprilie 2009; </w:t>
      </w:r>
      <w:proofErr w:type="spellStart"/>
      <w:r w:rsidR="00261ADC" w:rsidRPr="00D4433B">
        <w:rPr>
          <w:rStyle w:val="sb8d990e2"/>
          <w:i/>
          <w:iCs/>
          <w:lang w:val="ro-RO"/>
        </w:rPr>
        <w:t>Armonienė</w:t>
      </w:r>
      <w:proofErr w:type="spellEnd"/>
      <w:r w:rsidR="00261ADC" w:rsidRPr="00D4433B">
        <w:rPr>
          <w:rStyle w:val="sb8d990e2"/>
          <w:lang w:val="ro-RO"/>
        </w:rPr>
        <w:t xml:space="preserve">, citată mai sus, § 39; </w:t>
      </w:r>
      <w:proofErr w:type="spellStart"/>
      <w:r w:rsidR="00261ADC" w:rsidRPr="00D4433B">
        <w:rPr>
          <w:rStyle w:val="sb8d990e2"/>
          <w:i/>
          <w:iCs/>
          <w:lang w:val="ro-RO"/>
        </w:rPr>
        <w:t>Biriuk</w:t>
      </w:r>
      <w:proofErr w:type="spellEnd"/>
      <w:r w:rsidR="00261ADC" w:rsidRPr="00D4433B">
        <w:rPr>
          <w:rStyle w:val="sb8d990e2"/>
          <w:lang w:val="ro-RO"/>
        </w:rPr>
        <w:t xml:space="preserve">, citată mai sus, § 38; </w:t>
      </w:r>
      <w:r w:rsidR="00261ADC" w:rsidRPr="00D4433B">
        <w:rPr>
          <w:rStyle w:val="sb8d990e2"/>
          <w:i/>
          <w:iCs/>
          <w:lang w:val="ro-RO"/>
        </w:rPr>
        <w:t>Axel Springer AG împotriva Germaniei</w:t>
      </w:r>
      <w:r w:rsidR="00261ADC" w:rsidRPr="00D4433B">
        <w:rPr>
          <w:rStyle w:val="sb8d990e2"/>
          <w:lang w:val="ro-RO"/>
        </w:rPr>
        <w:t xml:space="preserve"> [</w:t>
      </w:r>
      <w:proofErr w:type="spellStart"/>
      <w:r w:rsidR="00261ADC" w:rsidRPr="00D4433B">
        <w:rPr>
          <w:rStyle w:val="sb8d990e2"/>
          <w:lang w:val="ro-RO"/>
        </w:rPr>
        <w:t>GC</w:t>
      </w:r>
      <w:proofErr w:type="spellEnd"/>
      <w:r w:rsidR="00261ADC" w:rsidRPr="00D4433B">
        <w:rPr>
          <w:rStyle w:val="sb8d990e2"/>
          <w:lang w:val="ro-RO"/>
        </w:rPr>
        <w:t xml:space="preserve">], nr. 39954/08, § 89 și următoarele, 7 Februarie 2012). Această interacțiune între </w:t>
      </w:r>
      <w:r w:rsidR="00D4433B" w:rsidRPr="00D4433B">
        <w:rPr>
          <w:rStyle w:val="sb8d990e2"/>
          <w:lang w:val="ro-RO"/>
        </w:rPr>
        <w:t>Articol</w:t>
      </w:r>
      <w:r w:rsidR="00261ADC" w:rsidRPr="00D4433B">
        <w:rPr>
          <w:rStyle w:val="sb8d990e2"/>
          <w:lang w:val="ro-RO"/>
        </w:rPr>
        <w:t xml:space="preserve">ul 10 și </w:t>
      </w:r>
      <w:r w:rsidR="00D4433B" w:rsidRPr="00D4433B">
        <w:rPr>
          <w:rStyle w:val="sb8d990e2"/>
          <w:lang w:val="ro-RO"/>
        </w:rPr>
        <w:t>Articol</w:t>
      </w:r>
      <w:r w:rsidR="00261ADC" w:rsidRPr="00D4433B">
        <w:rPr>
          <w:rStyle w:val="sb8d990e2"/>
          <w:lang w:val="ro-RO"/>
        </w:rPr>
        <w:t xml:space="preserve">ul 8 a fost evidențiată de Curte de mai multe ori (a se vedea, de exemplu, </w:t>
      </w:r>
      <w:r w:rsidR="00261ADC" w:rsidRPr="00D4433B">
        <w:rPr>
          <w:rStyle w:val="sb8d990e2"/>
          <w:i/>
          <w:iCs/>
          <w:lang w:val="ro-RO"/>
        </w:rPr>
        <w:t>Von Hannover împotriva Germaniei</w:t>
      </w:r>
      <w:r w:rsidR="00261ADC" w:rsidRPr="00D4433B">
        <w:rPr>
          <w:rStyle w:val="sb8d990e2"/>
          <w:lang w:val="ro-RO"/>
        </w:rPr>
        <w:t xml:space="preserve">, nr. 59320/00, CEDO 2004 VI, </w:t>
      </w:r>
      <w:proofErr w:type="spellStart"/>
      <w:r w:rsidR="00261ADC" w:rsidRPr="00D4433B">
        <w:rPr>
          <w:rStyle w:val="sb8d990e2"/>
          <w:i/>
          <w:iCs/>
          <w:lang w:val="ro-RO"/>
        </w:rPr>
        <w:t>Karakó</w:t>
      </w:r>
      <w:proofErr w:type="spellEnd"/>
      <w:r w:rsidR="00261ADC" w:rsidRPr="00D4433B">
        <w:rPr>
          <w:rStyle w:val="sb8d990e2"/>
          <w:i/>
          <w:iCs/>
          <w:lang w:val="ro-RO"/>
        </w:rPr>
        <w:t xml:space="preserve"> împotriva Ungariei</w:t>
      </w:r>
      <w:r w:rsidR="00261ADC" w:rsidRPr="00D4433B">
        <w:rPr>
          <w:rStyle w:val="sb8d990e2"/>
          <w:lang w:val="ro-RO"/>
        </w:rPr>
        <w:t xml:space="preserve">, citată mai sus). În principiu, drepturile garantate de aceste dispoziții trebuie să fie respectate în egală măsură (a se vedea </w:t>
      </w:r>
      <w:r w:rsidR="00261ADC" w:rsidRPr="00D4433B">
        <w:rPr>
          <w:rStyle w:val="sb8d990e2"/>
          <w:i/>
          <w:iCs/>
          <w:lang w:val="ro-RO"/>
        </w:rPr>
        <w:t xml:space="preserve">Hachette </w:t>
      </w:r>
      <w:proofErr w:type="spellStart"/>
      <w:r w:rsidR="00261ADC" w:rsidRPr="00D4433B">
        <w:rPr>
          <w:rStyle w:val="sb8d990e2"/>
          <w:i/>
          <w:iCs/>
          <w:lang w:val="ro-RO"/>
        </w:rPr>
        <w:t>Filipacchi</w:t>
      </w:r>
      <w:proofErr w:type="spellEnd"/>
      <w:r w:rsidR="00261ADC" w:rsidRPr="00D4433B">
        <w:rPr>
          <w:rStyle w:val="sb8d990e2"/>
          <w:i/>
          <w:iCs/>
          <w:lang w:val="ro-RO"/>
        </w:rPr>
        <w:t xml:space="preserve"> </w:t>
      </w:r>
      <w:proofErr w:type="spellStart"/>
      <w:r w:rsidR="00261ADC" w:rsidRPr="00D4433B">
        <w:rPr>
          <w:rStyle w:val="sb8d990e2"/>
          <w:i/>
          <w:iCs/>
          <w:lang w:val="ro-RO"/>
        </w:rPr>
        <w:t>Associés</w:t>
      </w:r>
      <w:proofErr w:type="spellEnd"/>
      <w:r w:rsidR="00261ADC" w:rsidRPr="00D4433B">
        <w:rPr>
          <w:rStyle w:val="sb8d990e2"/>
          <w:lang w:val="ro-RO"/>
        </w:rPr>
        <w:t xml:space="preserve"> (ICI PARIS) </w:t>
      </w:r>
      <w:r w:rsidR="00261ADC" w:rsidRPr="00D4433B">
        <w:rPr>
          <w:rStyle w:val="sb8d990e2"/>
          <w:i/>
          <w:iCs/>
          <w:lang w:val="ro-RO"/>
        </w:rPr>
        <w:t>împotriva Franței</w:t>
      </w:r>
      <w:r w:rsidR="00261ADC" w:rsidRPr="00D4433B">
        <w:rPr>
          <w:rStyle w:val="sb8d990e2"/>
          <w:lang w:val="ro-RO"/>
        </w:rPr>
        <w:t xml:space="preserve">, nr. 12268/03, § 41, 23 iulie 2009; </w:t>
      </w:r>
      <w:proofErr w:type="spellStart"/>
      <w:r w:rsidR="00261ADC" w:rsidRPr="00D4433B">
        <w:rPr>
          <w:rStyle w:val="sb8d990e2"/>
          <w:i/>
          <w:iCs/>
          <w:lang w:val="ro-RO"/>
        </w:rPr>
        <w:t>Timciuc</w:t>
      </w:r>
      <w:proofErr w:type="spellEnd"/>
      <w:r w:rsidR="00261ADC" w:rsidRPr="00D4433B">
        <w:rPr>
          <w:rStyle w:val="sb8d990e2"/>
          <w:i/>
          <w:iCs/>
          <w:lang w:val="ro-RO"/>
        </w:rPr>
        <w:t xml:space="preserve"> împotriva României</w:t>
      </w:r>
      <w:r w:rsidR="00261ADC" w:rsidRPr="00D4433B">
        <w:rPr>
          <w:rStyle w:val="sb8d990e2"/>
          <w:lang w:val="ro-RO"/>
        </w:rPr>
        <w:t xml:space="preserve"> (dec.), Nr. 28999/03, § 144, 12 octombrie 2010; și </w:t>
      </w:r>
      <w:proofErr w:type="spellStart"/>
      <w:r w:rsidR="00261ADC" w:rsidRPr="00D4433B">
        <w:rPr>
          <w:rStyle w:val="sb8d990e2"/>
          <w:i/>
          <w:iCs/>
          <w:lang w:val="ro-RO"/>
        </w:rPr>
        <w:t>Mosley</w:t>
      </w:r>
      <w:proofErr w:type="spellEnd"/>
      <w:r w:rsidR="00261ADC" w:rsidRPr="00D4433B">
        <w:rPr>
          <w:rStyle w:val="sb8d990e2"/>
          <w:i/>
          <w:iCs/>
          <w:lang w:val="ro-RO"/>
        </w:rPr>
        <w:t xml:space="preserve"> împotriva Regatului Unit</w:t>
      </w:r>
      <w:r w:rsidR="00261ADC" w:rsidRPr="00D4433B">
        <w:rPr>
          <w:rStyle w:val="sb8d990e2"/>
          <w:lang w:val="ro-RO"/>
        </w:rPr>
        <w:t>, nr. 48009/08, § 111, 10 mai 2011).</w:t>
      </w:r>
    </w:p>
    <w:p w14:paraId="272FCEE7" w14:textId="6DCB8BFB" w:rsidR="006D0621" w:rsidRPr="00D4433B" w:rsidRDefault="00F612CB" w:rsidP="006D0621">
      <w:pPr>
        <w:pStyle w:val="JuPara"/>
        <w:rPr>
          <w:rStyle w:val="sb8d990e2"/>
          <w:lang w:val="ro-RO"/>
        </w:rPr>
      </w:pPr>
      <w:r w:rsidRPr="00D4433B">
        <w:rPr>
          <w:rStyle w:val="sb8d990e2"/>
          <w:lang w:val="ro-RO"/>
        </w:rPr>
        <w:fldChar w:fldCharType="begin"/>
      </w:r>
      <w:r w:rsidRPr="00D4433B">
        <w:rPr>
          <w:rStyle w:val="sb8d990e2"/>
          <w:lang w:val="ro-RO"/>
        </w:rPr>
        <w:instrText xml:space="preserve"> SEQ level0 \*arabic </w:instrText>
      </w:r>
      <w:r w:rsidRPr="00D4433B">
        <w:rPr>
          <w:rStyle w:val="sb8d990e2"/>
          <w:lang w:val="ro-RO"/>
        </w:rPr>
        <w:fldChar w:fldCharType="separate"/>
      </w:r>
      <w:r w:rsidR="0017292E" w:rsidRPr="00D4433B">
        <w:rPr>
          <w:rStyle w:val="sb8d990e2"/>
          <w:lang w:val="ro-RO"/>
        </w:rPr>
        <w:t>57</w:t>
      </w:r>
      <w:r w:rsidRPr="00D4433B">
        <w:rPr>
          <w:rStyle w:val="sb8d990e2"/>
          <w:lang w:val="ro-RO"/>
        </w:rPr>
        <w:fldChar w:fldCharType="end"/>
      </w:r>
      <w:r w:rsidRPr="00D4433B">
        <w:rPr>
          <w:rStyle w:val="sb8d990e2"/>
          <w:lang w:val="ro-RO"/>
        </w:rPr>
        <w:t>.  </w:t>
      </w:r>
      <w:r w:rsidR="007359C9" w:rsidRPr="00D4433B">
        <w:rPr>
          <w:rStyle w:val="sb8d990e2"/>
          <w:lang w:val="ro-RO"/>
        </w:rPr>
        <w:t xml:space="preserve">Curtea a reiterat în numeroase ocazii că libertatea de exprimare constituie unul dintre fundamentele esențiale ale unei societăți democratice și, în acest context, garanțiile presei sunt deosebit de importante. Curtea a observat, de asemenea, că se impune cel mai atent control al </w:t>
      </w:r>
      <w:r w:rsidR="00D4433B" w:rsidRPr="00D4433B">
        <w:rPr>
          <w:rStyle w:val="sb8d990e2"/>
          <w:lang w:val="ro-RO"/>
        </w:rPr>
        <w:t>Articol</w:t>
      </w:r>
      <w:r w:rsidR="007359C9" w:rsidRPr="00D4433B">
        <w:rPr>
          <w:rStyle w:val="sb8d990e2"/>
          <w:lang w:val="ro-RO"/>
        </w:rPr>
        <w:t>ului 10 în cazul în care măsurile sau sancțiunile impuse presei sunt capabile să descurajeze participarea presei la dezbateri pe probleme de interes public legitim (</w:t>
      </w:r>
      <w:proofErr w:type="spellStart"/>
      <w:r w:rsidR="007359C9" w:rsidRPr="00D4433B">
        <w:rPr>
          <w:rStyle w:val="sb8d990e2"/>
          <w:i/>
          <w:iCs/>
          <w:lang w:val="ro-RO"/>
        </w:rPr>
        <w:t>Bladet</w:t>
      </w:r>
      <w:proofErr w:type="spellEnd"/>
      <w:r w:rsidR="007359C9" w:rsidRPr="00D4433B">
        <w:rPr>
          <w:rStyle w:val="sb8d990e2"/>
          <w:i/>
          <w:iCs/>
          <w:lang w:val="ro-RO"/>
        </w:rPr>
        <w:t xml:space="preserve"> </w:t>
      </w:r>
      <w:proofErr w:type="spellStart"/>
      <w:r w:rsidR="007359C9" w:rsidRPr="00D4433B">
        <w:rPr>
          <w:rStyle w:val="sb8d990e2"/>
          <w:i/>
          <w:iCs/>
          <w:lang w:val="ro-RO"/>
        </w:rPr>
        <w:t>Tromsø</w:t>
      </w:r>
      <w:proofErr w:type="spellEnd"/>
      <w:r w:rsidR="007359C9" w:rsidRPr="00D4433B">
        <w:rPr>
          <w:rStyle w:val="sb8d990e2"/>
          <w:i/>
          <w:iCs/>
          <w:lang w:val="ro-RO"/>
        </w:rPr>
        <w:t xml:space="preserve"> și </w:t>
      </w:r>
      <w:proofErr w:type="spellStart"/>
      <w:r w:rsidR="007359C9" w:rsidRPr="00D4433B">
        <w:rPr>
          <w:rStyle w:val="sb8d990e2"/>
          <w:i/>
          <w:iCs/>
          <w:lang w:val="ro-RO"/>
        </w:rPr>
        <w:t>Stensaas</w:t>
      </w:r>
      <w:proofErr w:type="spellEnd"/>
      <w:r w:rsidR="007359C9" w:rsidRPr="00D4433B">
        <w:rPr>
          <w:rStyle w:val="sb8d990e2"/>
          <w:i/>
          <w:iCs/>
          <w:lang w:val="ro-RO"/>
        </w:rPr>
        <w:t xml:space="preserve"> împotriva Norvegiei</w:t>
      </w:r>
      <w:r w:rsidR="007359C9" w:rsidRPr="00D4433B">
        <w:rPr>
          <w:rStyle w:val="sb8d990e2"/>
          <w:lang w:val="ro-RO"/>
        </w:rPr>
        <w:t xml:space="preserve"> </w:t>
      </w:r>
      <w:proofErr w:type="spellStart"/>
      <w:r w:rsidR="007359C9" w:rsidRPr="00D4433B">
        <w:rPr>
          <w:rStyle w:val="sb8d990e2"/>
          <w:lang w:val="ro-RO"/>
        </w:rPr>
        <w:t>GC</w:t>
      </w:r>
      <w:proofErr w:type="spellEnd"/>
      <w:r w:rsidR="007359C9" w:rsidRPr="00D4433B">
        <w:rPr>
          <w:rStyle w:val="sb8d990e2"/>
          <w:lang w:val="ro-RO"/>
        </w:rPr>
        <w:t xml:space="preserve">], nr.21980 / 93, § 64, CEDO 1999 III). Mai mult, trebuie furnizate motive deosebit de puternice pentru orice măsură care limitează accesul la informațiile pe care publicul are dreptul să le primească (a se vedea </w:t>
      </w:r>
      <w:r w:rsidR="007359C9" w:rsidRPr="00D4433B">
        <w:rPr>
          <w:rStyle w:val="sb8d990e2"/>
          <w:i/>
          <w:iCs/>
          <w:lang w:val="ro-RO"/>
        </w:rPr>
        <w:t>Timpul Info-Magazin și Anghel împotriva Moldovei</w:t>
      </w:r>
      <w:r w:rsidR="007359C9" w:rsidRPr="00D4433B">
        <w:rPr>
          <w:rStyle w:val="sb8d990e2"/>
          <w:lang w:val="ro-RO"/>
        </w:rPr>
        <w:t xml:space="preserve">, nr. 42864/05, § 31, 27 noiembrie 2007). În </w:t>
      </w:r>
      <w:r w:rsidR="007359C9" w:rsidRPr="00D4433B">
        <w:rPr>
          <w:rStyle w:val="sb8d990e2"/>
          <w:lang w:val="ro-RO"/>
        </w:rPr>
        <w:lastRenderedPageBreak/>
        <w:t xml:space="preserve">același timp, Curtea a observat că presa nu trebuie să depășească anumite limite, în special în ceea ce privește reputația și drepturile altora (a se vedea </w:t>
      </w:r>
      <w:proofErr w:type="spellStart"/>
      <w:r w:rsidR="007359C9" w:rsidRPr="00D4433B">
        <w:rPr>
          <w:rStyle w:val="sb8d990e2"/>
          <w:i/>
          <w:iCs/>
          <w:lang w:val="ro-RO"/>
        </w:rPr>
        <w:t>Tammer</w:t>
      </w:r>
      <w:proofErr w:type="spellEnd"/>
      <w:r w:rsidR="007359C9" w:rsidRPr="00D4433B">
        <w:rPr>
          <w:rStyle w:val="sb8d990e2"/>
          <w:i/>
          <w:iCs/>
          <w:lang w:val="ro-RO"/>
        </w:rPr>
        <w:t xml:space="preserve"> împotriva Estoniei</w:t>
      </w:r>
      <w:r w:rsidR="007359C9" w:rsidRPr="00D4433B">
        <w:rPr>
          <w:rStyle w:val="sb8d990e2"/>
          <w:lang w:val="ro-RO"/>
        </w:rPr>
        <w:t xml:space="preserve">, nr. 41205/98, § 62, CEDO 2001 I și </w:t>
      </w:r>
      <w:proofErr w:type="spellStart"/>
      <w:r w:rsidR="007359C9" w:rsidRPr="00D4433B">
        <w:rPr>
          <w:rStyle w:val="sb8d990e2"/>
          <w:i/>
          <w:iCs/>
          <w:lang w:val="ro-RO"/>
        </w:rPr>
        <w:t>Dalban</w:t>
      </w:r>
      <w:proofErr w:type="spellEnd"/>
      <w:r w:rsidR="007359C9" w:rsidRPr="00D4433B">
        <w:rPr>
          <w:rStyle w:val="sb8d990e2"/>
          <w:i/>
          <w:iCs/>
          <w:lang w:val="ro-RO"/>
        </w:rPr>
        <w:t xml:space="preserve"> împotriva României</w:t>
      </w:r>
      <w:r w:rsidR="007359C9" w:rsidRPr="00D4433B">
        <w:rPr>
          <w:rStyle w:val="sb8d990e2"/>
          <w:lang w:val="ro-RO"/>
        </w:rPr>
        <w:t xml:space="preserve"> [</w:t>
      </w:r>
      <w:proofErr w:type="spellStart"/>
      <w:r w:rsidR="007359C9" w:rsidRPr="00D4433B">
        <w:rPr>
          <w:rStyle w:val="sb8d990e2"/>
          <w:lang w:val="ro-RO"/>
        </w:rPr>
        <w:t>GC</w:t>
      </w:r>
      <w:proofErr w:type="spellEnd"/>
      <w:r w:rsidR="007359C9" w:rsidRPr="00D4433B">
        <w:rPr>
          <w:rStyle w:val="sb8d990e2"/>
          <w:lang w:val="ro-RO"/>
        </w:rPr>
        <w:t>], nr.28114 / 95, § 49, CEDO 1999 VI).</w:t>
      </w:r>
    </w:p>
    <w:p w14:paraId="70214A15" w14:textId="433F8C78" w:rsidR="00F7451B" w:rsidRPr="00D4433B" w:rsidRDefault="00F7451B" w:rsidP="00F7451B">
      <w:pPr>
        <w:pStyle w:val="JuPara"/>
        <w:rPr>
          <w:i/>
          <w:lang w:val="ro-RO" w:eastAsia="en-US"/>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58</w:t>
      </w:r>
      <w:r w:rsidRPr="00D4433B">
        <w:rPr>
          <w:lang w:val="ro-RO"/>
        </w:rPr>
        <w:fldChar w:fldCharType="end"/>
      </w:r>
      <w:r w:rsidR="00914103" w:rsidRPr="00D4433B">
        <w:rPr>
          <w:lang w:val="ro-RO"/>
        </w:rPr>
        <w:t>.  </w:t>
      </w:r>
      <w:r w:rsidR="007359C9" w:rsidRPr="00D4433B">
        <w:rPr>
          <w:lang w:val="ro-RO"/>
        </w:rPr>
        <w:t xml:space="preserve">Curtea a considerat că Internetul este un instrument de informare și comunicare îndeosebi distinct de mijloacele mass-media tipărite, în special în ceea ce privește capacitatea de stocare și transmitere a informațiilor. Rețeaua electronică, care deservește miliarde de utilizatori din întreaga lume, nu este și nu va fi niciodată supusă acelorași reglementări și control. Riscul de vătămare pe care îl prezintă conținutul și comunicările de pe internet pentru exercitarea și bucurarea drepturilor și libertăților omului, în special dreptul la respectarea vieții private, este cu siguranță mai mare decât cel pe care îl prezintă presa. Prin urmare, politicile care guvernează copierea materialelor din presa tipărită și de pe internet pot diferi. Acestea din urmă trebuie, fără îndoială, să fie ajustate în funcție de caracteristicile specifice ale tehnologiei pentru a asigura protecția și promovarea drepturilor și libertăților în cauză (a se vedea </w:t>
      </w:r>
      <w:r w:rsidR="007359C9" w:rsidRPr="00D4433B">
        <w:rPr>
          <w:i/>
          <w:iCs/>
          <w:lang w:val="ro-RO"/>
        </w:rPr>
        <w:t xml:space="preserve">Comitetul editorial al </w:t>
      </w:r>
      <w:proofErr w:type="spellStart"/>
      <w:r w:rsidR="007359C9" w:rsidRPr="00D4433B">
        <w:rPr>
          <w:i/>
          <w:iCs/>
          <w:lang w:val="ro-RO"/>
        </w:rPr>
        <w:t>Pravoye</w:t>
      </w:r>
      <w:proofErr w:type="spellEnd"/>
      <w:r w:rsidR="007359C9" w:rsidRPr="00D4433B">
        <w:rPr>
          <w:i/>
          <w:iCs/>
          <w:lang w:val="ro-RO"/>
        </w:rPr>
        <w:t xml:space="preserve"> </w:t>
      </w:r>
      <w:proofErr w:type="spellStart"/>
      <w:r w:rsidR="007359C9" w:rsidRPr="00D4433B">
        <w:rPr>
          <w:i/>
          <w:iCs/>
          <w:lang w:val="ro-RO"/>
        </w:rPr>
        <w:t>Delo</w:t>
      </w:r>
      <w:proofErr w:type="spellEnd"/>
      <w:r w:rsidR="007359C9" w:rsidRPr="00D4433B">
        <w:rPr>
          <w:i/>
          <w:iCs/>
          <w:lang w:val="ro-RO"/>
        </w:rPr>
        <w:t xml:space="preserve"> și </w:t>
      </w:r>
      <w:proofErr w:type="spellStart"/>
      <w:r w:rsidR="007359C9" w:rsidRPr="00D4433B">
        <w:rPr>
          <w:i/>
          <w:iCs/>
          <w:lang w:val="ro-RO"/>
        </w:rPr>
        <w:t>Shtekel</w:t>
      </w:r>
      <w:proofErr w:type="spellEnd"/>
      <w:r w:rsidR="007359C9" w:rsidRPr="00D4433B">
        <w:rPr>
          <w:i/>
          <w:iCs/>
          <w:lang w:val="ro-RO"/>
        </w:rPr>
        <w:t xml:space="preserve"> împotriva Ucrainei</w:t>
      </w:r>
      <w:r w:rsidR="007359C9" w:rsidRPr="00D4433B">
        <w:rPr>
          <w:lang w:val="ro-RO"/>
        </w:rPr>
        <w:t>, nr. 33014/05, § 63, CEDO 2011 (extrase)).</w:t>
      </w:r>
    </w:p>
    <w:p w14:paraId="4824037C" w14:textId="2BF4797A" w:rsidR="004A08BD" w:rsidRPr="00D4433B" w:rsidRDefault="00F612CB" w:rsidP="004A08BD">
      <w:pPr>
        <w:pStyle w:val="JuPara"/>
        <w:rPr>
          <w:lang w:val="ro-RO" w:eastAsia="en-US"/>
        </w:rPr>
      </w:pPr>
      <w:r w:rsidRPr="00D4433B">
        <w:rPr>
          <w:lang w:val="ro-RO" w:eastAsia="en-US"/>
        </w:rPr>
        <w:fldChar w:fldCharType="begin"/>
      </w:r>
      <w:r w:rsidRPr="00D4433B">
        <w:rPr>
          <w:lang w:val="ro-RO" w:eastAsia="en-US"/>
        </w:rPr>
        <w:instrText xml:space="preserve"> SEQ level0 \*arabic </w:instrText>
      </w:r>
      <w:r w:rsidRPr="00D4433B">
        <w:rPr>
          <w:lang w:val="ro-RO" w:eastAsia="en-US"/>
        </w:rPr>
        <w:fldChar w:fldCharType="separate"/>
      </w:r>
      <w:r w:rsidR="0017292E" w:rsidRPr="00D4433B">
        <w:rPr>
          <w:lang w:val="ro-RO" w:eastAsia="en-US"/>
        </w:rPr>
        <w:t>59</w:t>
      </w:r>
      <w:r w:rsidRPr="00D4433B">
        <w:rPr>
          <w:lang w:val="ro-RO" w:eastAsia="en-US"/>
        </w:rPr>
        <w:fldChar w:fldCharType="end"/>
      </w:r>
      <w:r w:rsidRPr="00D4433B">
        <w:rPr>
          <w:lang w:val="ro-RO" w:eastAsia="en-US"/>
        </w:rPr>
        <w:t>.  </w:t>
      </w:r>
      <w:r w:rsidR="00173DD2" w:rsidRPr="00D4433B">
        <w:rPr>
          <w:lang w:val="ro-RO"/>
        </w:rPr>
        <w:t xml:space="preserve">Conform jurisprudenței Curții, arhivele Internet se încadrează în domeniul protecției oferite de </w:t>
      </w:r>
      <w:r w:rsidR="00D4433B" w:rsidRPr="00D4433B">
        <w:rPr>
          <w:lang w:val="ro-RO"/>
        </w:rPr>
        <w:t>Articol</w:t>
      </w:r>
      <w:r w:rsidR="00173DD2" w:rsidRPr="00D4433B">
        <w:rPr>
          <w:lang w:val="ro-RO"/>
        </w:rPr>
        <w:t xml:space="preserve">ul 10 (a se vedea Times </w:t>
      </w:r>
      <w:proofErr w:type="spellStart"/>
      <w:r w:rsidR="00173DD2" w:rsidRPr="00D4433B">
        <w:rPr>
          <w:lang w:val="ro-RO"/>
        </w:rPr>
        <w:t>Newspapers</w:t>
      </w:r>
      <w:proofErr w:type="spellEnd"/>
      <w:r w:rsidR="00173DD2" w:rsidRPr="00D4433B">
        <w:rPr>
          <w:lang w:val="ro-RO"/>
        </w:rPr>
        <w:t xml:space="preserve"> Ltd, citată mai sus, § 27). Curtea a subliniat contribuția substanțială adusă de arhivele Internet la păstrarea și punerea la dispoziție a știrilor și informațiilor. Astfel de arhive constituie o sursă importantă pentru educație și cercetare istorică, mai ales că sunt ușor accesibile publicului și sunt în general gratuite. În timp ce funcția principală a presei într-o democrație este de a acționa ca „câine de pază public”, aceasta are un rol secundar valoros în menținerea și punerea la dispoziția arhivelor publice care conțin știri care au fost raportate anterior (vezi </w:t>
      </w:r>
      <w:r w:rsidR="00173DD2" w:rsidRPr="00D4433B">
        <w:rPr>
          <w:i/>
          <w:iCs/>
          <w:lang w:val="ro-RO"/>
        </w:rPr>
        <w:t xml:space="preserve">Times </w:t>
      </w:r>
      <w:proofErr w:type="spellStart"/>
      <w:r w:rsidR="00173DD2" w:rsidRPr="00D4433B">
        <w:rPr>
          <w:i/>
          <w:iCs/>
          <w:lang w:val="ro-RO"/>
        </w:rPr>
        <w:t>Newspapers</w:t>
      </w:r>
      <w:proofErr w:type="spellEnd"/>
      <w:r w:rsidR="00173DD2" w:rsidRPr="00D4433B">
        <w:rPr>
          <w:i/>
          <w:iCs/>
          <w:lang w:val="ro-RO"/>
        </w:rPr>
        <w:t xml:space="preserve"> Ltd</w:t>
      </w:r>
      <w:r w:rsidR="00173DD2" w:rsidRPr="00D4433B">
        <w:rPr>
          <w:lang w:val="ro-RO"/>
        </w:rPr>
        <w:t>, citată mai sus, § 27). Întreținerea arhivelor pe Internet este un aspect critic al acestui rol.</w:t>
      </w:r>
    </w:p>
    <w:p w14:paraId="0D1FE123" w14:textId="77777777" w:rsidR="00173DD2" w:rsidRPr="00D4433B" w:rsidRDefault="00173DD2" w:rsidP="006D0621">
      <w:pPr>
        <w:pStyle w:val="JuPara"/>
        <w:rPr>
          <w:lang w:val="ro-RO"/>
        </w:rPr>
      </w:pPr>
      <w:r w:rsidRPr="00D4433B">
        <w:rPr>
          <w:lang w:val="ro-RO"/>
        </w:rPr>
        <w:t xml:space="preserve">Curtea a reținut, în contextul unei plângeri în temeiul Articolul 10 introduse de un ziar, că o cerință de a publica o calificare adecvată privind un articol conținut într-o arhivă pe internet, unde s-a adus la cunoștința unui ziar că o acțiune în instanță pentru calomnie a fost inițiată în ceea ce privește același articol publicat în presa scrisă, nu a constituit o ingerință disproporționată în dreptul la libertatea de exprimare. Curtea a fost de părere că o astfel de obligație în ceea ce privește o arhivă pe internet administrată de un editor al unui ziar în sine nu era excesivă. De asemenea, Curtea a observat aprobator că instanțele naționale nu sugeraseră ca articolele potențial defăimătoare să fie eliminate complet din arhive (a se vedea </w:t>
      </w:r>
      <w:r w:rsidRPr="00D4433B">
        <w:rPr>
          <w:i/>
          <w:iCs/>
          <w:lang w:val="ro-RO"/>
        </w:rPr>
        <w:t xml:space="preserve">Times </w:t>
      </w:r>
      <w:proofErr w:type="spellStart"/>
      <w:r w:rsidRPr="00D4433B">
        <w:rPr>
          <w:i/>
          <w:iCs/>
          <w:lang w:val="ro-RO"/>
        </w:rPr>
        <w:t>Newspapers</w:t>
      </w:r>
      <w:proofErr w:type="spellEnd"/>
      <w:r w:rsidRPr="00D4433B">
        <w:rPr>
          <w:lang w:val="ro-RO"/>
        </w:rPr>
        <w:t>, citat mai sus, § 47).</w:t>
      </w:r>
    </w:p>
    <w:p w14:paraId="18E0D654" w14:textId="590D1037" w:rsidR="0090070F" w:rsidRPr="00D4433B" w:rsidRDefault="006D0621"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60</w:t>
      </w:r>
      <w:r w:rsidRPr="00D4433B">
        <w:rPr>
          <w:lang w:val="ro-RO"/>
        </w:rPr>
        <w:fldChar w:fldCharType="end"/>
      </w:r>
      <w:r w:rsidRPr="00D4433B">
        <w:rPr>
          <w:lang w:val="ro-RO"/>
        </w:rPr>
        <w:t>.  </w:t>
      </w:r>
      <w:r w:rsidR="00173DD2" w:rsidRPr="00D4433B">
        <w:rPr>
          <w:lang w:val="ro-RO"/>
        </w:rPr>
        <w:t xml:space="preserve">În ceea ce privește circumstanțele prezentei cauze, Curtea constată că nu s-a contestat faptul că articolul publicat de </w:t>
      </w:r>
      <w:proofErr w:type="spellStart"/>
      <w:r w:rsidR="00173DD2" w:rsidRPr="00D4433B">
        <w:rPr>
          <w:lang w:val="ro-RO"/>
        </w:rPr>
        <w:t>Rzeczpospolita</w:t>
      </w:r>
      <w:proofErr w:type="spellEnd"/>
      <w:r w:rsidR="00173DD2" w:rsidRPr="00D4433B">
        <w:rPr>
          <w:lang w:val="ro-RO"/>
        </w:rPr>
        <w:t xml:space="preserve"> în decembrie 2000 a încălcat drepturile reclamantului. Instanțele interne au recunoscut în mod expres acest lucru în primele două hotărâri. Acestea au admis cererea </w:t>
      </w:r>
      <w:r w:rsidR="00173DD2" w:rsidRPr="00D4433B">
        <w:rPr>
          <w:lang w:val="ro-RO"/>
        </w:rPr>
        <w:lastRenderedPageBreak/>
        <w:t xml:space="preserve">reclamantului pe motive care corespund standardelor Convenției (a se vedea paragrafele 6-8 de mai sus). Cu toate acestea, cazul de față se referă la probleme apărute în legătură cu al doilea set de proceduri civile în care au fost examinate prezența articolului ofensator pe site-ul web al ziarului și obligațiile pozitive ale statului în temeiul </w:t>
      </w:r>
      <w:r w:rsidR="00D4433B" w:rsidRPr="00D4433B">
        <w:rPr>
          <w:lang w:val="ro-RO"/>
        </w:rPr>
        <w:t>Articol</w:t>
      </w:r>
      <w:r w:rsidR="00173DD2" w:rsidRPr="00D4433B">
        <w:rPr>
          <w:lang w:val="ro-RO"/>
        </w:rPr>
        <w:t>ului 8 al Convenției care apar în acest context.</w:t>
      </w:r>
    </w:p>
    <w:p w14:paraId="25DE80C0" w14:textId="77777777" w:rsidR="00173DD2" w:rsidRPr="00D4433B" w:rsidRDefault="009E5CAA" w:rsidP="00173DD2">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61</w:t>
      </w:r>
      <w:r w:rsidRPr="00D4433B">
        <w:rPr>
          <w:lang w:val="ro-RO"/>
        </w:rPr>
        <w:fldChar w:fldCharType="end"/>
      </w:r>
      <w:r w:rsidRPr="00D4433B">
        <w:rPr>
          <w:lang w:val="ro-RO"/>
        </w:rPr>
        <w:t>.  </w:t>
      </w:r>
      <w:r w:rsidR="00173DD2" w:rsidRPr="00D4433B">
        <w:rPr>
          <w:lang w:val="ro-RO"/>
        </w:rPr>
        <w:t>Curtea observă că, în timpul primului set de proceduri civile, reclamanții nu au formulat pretenții cu privire la prezența articolului pe internet. Prin urmare, instanțele nu s-au putut pronunța asupra acestei chestiuni. Hotărârile pronunțate în primul caz nu au creat pentru reclamanți o așteptare legitimă de a elimina articolul de pe site-ul ziarului.</w:t>
      </w:r>
    </w:p>
    <w:p w14:paraId="64E0EB64" w14:textId="63FE03DD" w:rsidR="0090070F" w:rsidRPr="00D4433B" w:rsidRDefault="00173DD2" w:rsidP="00173DD2">
      <w:pPr>
        <w:pStyle w:val="JuPara"/>
        <w:rPr>
          <w:lang w:val="ro-RO"/>
        </w:rPr>
      </w:pPr>
      <w:r w:rsidRPr="00D4433B">
        <w:rPr>
          <w:lang w:val="ro-RO"/>
        </w:rPr>
        <w:t xml:space="preserve">În plus, trebuie menționat faptul că instanțele naționale au constatat că articolul a fost publicat pe site-ul web al ziarului simultan cu ediția tipărită din decembrie 2000. Reclamantul nu a contestat această constatare în contestațiile sale. Prin urmare, al doilea caz împotriva </w:t>
      </w:r>
      <w:proofErr w:type="spellStart"/>
      <w:r w:rsidRPr="00D4433B">
        <w:rPr>
          <w:lang w:val="ro-RO"/>
        </w:rPr>
        <w:t>Rzeczpospolita</w:t>
      </w:r>
      <w:proofErr w:type="spellEnd"/>
      <w:r w:rsidRPr="00D4433B">
        <w:rPr>
          <w:lang w:val="ro-RO"/>
        </w:rPr>
        <w:t>, introdus de reclamant în 2004, a vizat aceleași circumstanțe de fapt.</w:t>
      </w:r>
    </w:p>
    <w:p w14:paraId="23B34FFE" w14:textId="39798731" w:rsidR="0090070F" w:rsidRPr="00D4433B" w:rsidRDefault="003506F1" w:rsidP="00DE4C59">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62</w:t>
      </w:r>
      <w:r w:rsidRPr="00D4433B">
        <w:rPr>
          <w:lang w:val="ro-RO"/>
        </w:rPr>
        <w:fldChar w:fldCharType="end"/>
      </w:r>
      <w:r w:rsidRPr="00D4433B">
        <w:rPr>
          <w:lang w:val="ro-RO"/>
        </w:rPr>
        <w:t>.  </w:t>
      </w:r>
      <w:r w:rsidR="0005636A" w:rsidRPr="00D4433B">
        <w:rPr>
          <w:lang w:val="ro-RO"/>
        </w:rPr>
        <w:t xml:space="preserve">Arhiva de internet a </w:t>
      </w:r>
      <w:proofErr w:type="spellStart"/>
      <w:r w:rsidR="0005636A" w:rsidRPr="00D4433B">
        <w:rPr>
          <w:lang w:val="ro-RO"/>
        </w:rPr>
        <w:t>Rzeczpospolita</w:t>
      </w:r>
      <w:proofErr w:type="spellEnd"/>
      <w:r w:rsidR="0005636A" w:rsidRPr="00D4433B">
        <w:rPr>
          <w:lang w:val="ro-RO"/>
        </w:rPr>
        <w:t xml:space="preserve"> este o resursă juridică cunoscută pe scară largă pentru avocații polonezi și pentru publicul larg, adesea utilizată și accesată de membrii profesiilor juridice. Nu au fost prezentate Curții argumente care să justifice eșecul reclamantului de a se asigura că sfera primei acțiuni în instanță pentru defăimare cuprindea prezența articolului pe site-ul web al ziarului.</w:t>
      </w:r>
    </w:p>
    <w:p w14:paraId="311095FF" w14:textId="3F94D14E" w:rsidR="0090070F" w:rsidRPr="00D4433B" w:rsidRDefault="00731206" w:rsidP="006D0621">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63</w:t>
      </w:r>
      <w:r w:rsidRPr="00D4433B">
        <w:rPr>
          <w:lang w:val="ro-RO"/>
        </w:rPr>
        <w:fldChar w:fldCharType="end"/>
      </w:r>
      <w:r w:rsidRPr="00D4433B">
        <w:rPr>
          <w:lang w:val="ro-RO"/>
        </w:rPr>
        <w:t>.  </w:t>
      </w:r>
      <w:r w:rsidR="00F93471" w:rsidRPr="00D4433B">
        <w:rPr>
          <w:lang w:val="ro-RO"/>
        </w:rPr>
        <w:t>Curtea observă că Tribunalul din Varșovia a declarat în hotărârea sa din 28 septembrie 2005 că dosarul introdus de reclamant nu intra în sfera de lucru judecat (a se vedea punctul 12 de mai sus). Prin urmare, reclamantului i s-a oferit ocazia de a aduce în fața instanțelor cererile sale referitoare la versiunea pe internet a articolului și de a le supune examinării în cadrul procedurilor judiciare care încorporează o gamă completă de garanții procedurale.</w:t>
      </w:r>
    </w:p>
    <w:p w14:paraId="64571F7E" w14:textId="15E37759" w:rsidR="0090070F" w:rsidRPr="00D4433B" w:rsidRDefault="006D0621" w:rsidP="006C7B44">
      <w:pPr>
        <w:pStyle w:val="JuPara"/>
        <w:rPr>
          <w:lang w:val="ro-RO" w:eastAsia="en-US"/>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64</w:t>
      </w:r>
      <w:r w:rsidRPr="00D4433B">
        <w:rPr>
          <w:lang w:val="ro-RO"/>
        </w:rPr>
        <w:fldChar w:fldCharType="end"/>
      </w:r>
      <w:r w:rsidRPr="00D4433B">
        <w:rPr>
          <w:lang w:val="ro-RO"/>
        </w:rPr>
        <w:t>.  </w:t>
      </w:r>
      <w:r w:rsidR="002D6678" w:rsidRPr="00D4433B">
        <w:rPr>
          <w:lang w:val="ro-RO"/>
        </w:rPr>
        <w:t xml:space="preserve">Curtea mai reține că reclamantul și-a făcut cererea în temeiul </w:t>
      </w:r>
      <w:r w:rsidR="00D4433B" w:rsidRPr="00D4433B">
        <w:rPr>
          <w:lang w:val="ro-RO"/>
        </w:rPr>
        <w:t>Articol</w:t>
      </w:r>
      <w:r w:rsidR="002D6678" w:rsidRPr="00D4433B">
        <w:rPr>
          <w:lang w:val="ro-RO"/>
        </w:rPr>
        <w:t xml:space="preserve">elor 23 și 24 din Codul civil. Instanțele au acceptat că cererea ar putea fi examinată în temeiul acestor dispoziții și că aceste dispoziții s-au aplicat și publicațiilor diseminate prin internet. Prin urmare, Curtea consideră că nu s-a demonstrat că nu a existat un cadru juridic adecvat la momentul relevant și că absența unui astfel de cadru a făcut imposibil ca reclamantul să-și apere drepturile (comparați și </w:t>
      </w:r>
      <w:r w:rsidR="00D4433B" w:rsidRPr="00D4433B">
        <w:rPr>
          <w:lang w:val="ro-RO"/>
        </w:rPr>
        <w:t xml:space="preserve">diferențiați cu </w:t>
      </w:r>
      <w:r w:rsidR="002D6678" w:rsidRPr="00D4433B">
        <w:rPr>
          <w:i/>
          <w:iCs/>
          <w:lang w:val="ro-RO"/>
        </w:rPr>
        <w:t>KU împotriva Finlandei</w:t>
      </w:r>
      <w:r w:rsidR="002D6678" w:rsidRPr="00D4433B">
        <w:rPr>
          <w:lang w:val="ro-RO"/>
        </w:rPr>
        <w:t>, nr. 2872/02, § 49, CEDO 2008).</w:t>
      </w:r>
    </w:p>
    <w:p w14:paraId="7D600607" w14:textId="3AA69123" w:rsidR="0090070F" w:rsidRPr="00D4433B" w:rsidRDefault="006D0621" w:rsidP="009305B9">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65</w:t>
      </w:r>
      <w:r w:rsidRPr="00D4433B">
        <w:rPr>
          <w:lang w:val="ro-RO"/>
        </w:rPr>
        <w:fldChar w:fldCharType="end"/>
      </w:r>
      <w:r w:rsidRPr="00D4433B">
        <w:rPr>
          <w:lang w:val="ro-RO"/>
        </w:rPr>
        <w:t>.  </w:t>
      </w:r>
      <w:r w:rsidR="002D6678" w:rsidRPr="00D4433B">
        <w:rPr>
          <w:lang w:val="ro-RO"/>
        </w:rPr>
        <w:t xml:space="preserve">Curtea reține în continuare constatarea făcută de Tribunalul din Varșovia că articolul în cauză a fost publicat în ediția tipărită a ziarului. Această instanță și-a exprimat opinia că nu revine instanțelor judecătorești să dispună eliminarea articolului ca și cum nu ar fi existat niciodată (a se vedea paragraful 12 de mai sus). Curtea admite că nu este rolul autorităților judiciare să se angajeze în rescrierea istoriei, dispunând scoaterea din domeniul public a tuturor urmelor de publicații despre care, în trecut, s-a constatat, prin </w:t>
      </w:r>
      <w:r w:rsidR="002D6678" w:rsidRPr="00D4433B">
        <w:rPr>
          <w:lang w:val="ro-RO"/>
        </w:rPr>
        <w:lastRenderedPageBreak/>
        <w:t xml:space="preserve">hotărâri judecătorești definitive, că reprezintă atacuri nejustificate asupra reputației unor persoane. În plus, este relevant pentru evaluarea cazului că interesul legitim al publicului de a accesa arhivele publice ale presei pe Internet este protejat în conformitate cu </w:t>
      </w:r>
      <w:r w:rsidR="00D4433B" w:rsidRPr="00D4433B">
        <w:rPr>
          <w:lang w:val="ro-RO"/>
        </w:rPr>
        <w:t>Articol</w:t>
      </w:r>
      <w:r w:rsidR="002D6678" w:rsidRPr="00D4433B">
        <w:rPr>
          <w:lang w:val="ro-RO"/>
        </w:rPr>
        <w:t>ul 10 al Convenției.</w:t>
      </w:r>
    </w:p>
    <w:p w14:paraId="67D431E7" w14:textId="52DDA3FE" w:rsidR="0090070F" w:rsidRPr="00D4433B" w:rsidRDefault="006D0621" w:rsidP="006D0621">
      <w:pPr>
        <w:pStyle w:val="JuPara"/>
        <w:rPr>
          <w:lang w:val="ro-RO"/>
        </w:rPr>
      </w:pPr>
      <w:r w:rsidRPr="00D4433B">
        <w:rPr>
          <w:lang w:val="ro-RO" w:eastAsia="en-US"/>
        </w:rPr>
        <w:fldChar w:fldCharType="begin"/>
      </w:r>
      <w:r w:rsidRPr="00D4433B">
        <w:rPr>
          <w:lang w:val="ro-RO" w:eastAsia="en-US"/>
        </w:rPr>
        <w:instrText xml:space="preserve"> SEQ level0 \*arabic </w:instrText>
      </w:r>
      <w:r w:rsidRPr="00D4433B">
        <w:rPr>
          <w:lang w:val="ro-RO" w:eastAsia="en-US"/>
        </w:rPr>
        <w:fldChar w:fldCharType="separate"/>
      </w:r>
      <w:r w:rsidR="0017292E" w:rsidRPr="00D4433B">
        <w:rPr>
          <w:lang w:val="ro-RO" w:eastAsia="en-US"/>
        </w:rPr>
        <w:t>66</w:t>
      </w:r>
      <w:r w:rsidRPr="00D4433B">
        <w:rPr>
          <w:lang w:val="ro-RO" w:eastAsia="en-US"/>
        </w:rPr>
        <w:fldChar w:fldCharType="end"/>
      </w:r>
      <w:r w:rsidRPr="00D4433B">
        <w:rPr>
          <w:lang w:val="ro-RO" w:eastAsia="en-US"/>
        </w:rPr>
        <w:t>. </w:t>
      </w:r>
      <w:r w:rsidR="00974201" w:rsidRPr="00D4433B">
        <w:rPr>
          <w:lang w:val="ro-RO" w:eastAsia="en-US"/>
        </w:rPr>
        <w:t> </w:t>
      </w:r>
      <w:r w:rsidR="002D6678" w:rsidRPr="00D4433B">
        <w:rPr>
          <w:lang w:val="ro-RO"/>
        </w:rPr>
        <w:t xml:space="preserve">Curtea este de părere că presupusele încălcări ale drepturilor protejate în temeiul </w:t>
      </w:r>
      <w:r w:rsidR="00D4433B" w:rsidRPr="00D4433B">
        <w:rPr>
          <w:lang w:val="ro-RO"/>
        </w:rPr>
        <w:t>Articol</w:t>
      </w:r>
      <w:r w:rsidR="002D6678" w:rsidRPr="00D4433B">
        <w:rPr>
          <w:lang w:val="ro-RO"/>
        </w:rPr>
        <w:t>ului 8 al Convenției ar trebui reparate prin remedii adecvate disponibile în temeiul dreptului intern. În acest sens, este de remarcat faptul că, în cazul de față, Curtea de Apel din Varșovia a observat că ar fi de dorit să se adauge un comentariu la articolul de pe website-</w:t>
      </w:r>
      <w:proofErr w:type="spellStart"/>
      <w:r w:rsidR="002D6678" w:rsidRPr="00D4433B">
        <w:rPr>
          <w:lang w:val="ro-RO"/>
        </w:rPr>
        <w:t>ul</w:t>
      </w:r>
      <w:proofErr w:type="spellEnd"/>
      <w:r w:rsidR="002D6678" w:rsidRPr="00D4433B">
        <w:rPr>
          <w:lang w:val="ro-RO"/>
        </w:rPr>
        <w:t xml:space="preserve"> ziarului prin care să se informeze publicul cu privire la rezultatul procedurilor civile în care instanțele au admis cererea reclamanților pentru protecția drepturilor lor personale (a se vedea paragraful 12 de mai sus). Prin urmare, Curtea este mulțumită că instanțele naționale au fost conștiente de semnificația pe care o pot avea publicațiile disponibile pentru publicul larg pe internet pentru protecția efectivă a drepturilor individuale. În plus, instanțele au arătat că au apreciat valoarea disponibilității pe site-ul web al ziarului a informațiilor complete despre hotărârile judecătorești referitoare la articolul în discuție pentru protecția efectivă a drepturilor și a reputației reclamantului.</w:t>
      </w:r>
    </w:p>
    <w:p w14:paraId="528B5265" w14:textId="358BFFEE" w:rsidR="0090070F" w:rsidRPr="00D4433B" w:rsidRDefault="00162946" w:rsidP="006D0621">
      <w:pPr>
        <w:pStyle w:val="JuPara"/>
        <w:rPr>
          <w:lang w:val="ro-RO" w:eastAsia="en-US"/>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67</w:t>
      </w:r>
      <w:r w:rsidRPr="00D4433B">
        <w:rPr>
          <w:lang w:val="ro-RO"/>
        </w:rPr>
        <w:fldChar w:fldCharType="end"/>
      </w:r>
      <w:r w:rsidRPr="00D4433B">
        <w:rPr>
          <w:lang w:val="ro-RO"/>
        </w:rPr>
        <w:t>.  </w:t>
      </w:r>
      <w:r w:rsidR="002D6678" w:rsidRPr="00D4433B">
        <w:rPr>
          <w:lang w:val="ro-RO"/>
        </w:rPr>
        <w:t xml:space="preserve">Cu toate acestea, Curtea subliniază că, în cadrul procedurii din prezenta cauză, reclamantul nu a depus o cerere specifică de rectificare a informațiilor prin adăugarea unei trimiteri la hotărârile anterioare în favoarea sa. În fața Curții nu s-a arătat și nici măcar nu s-a susținut că, în cadrul legal aplicabil, nu puteau solicita instanței să precizeze măsurile pe care doreau să le dispună în ceea ce privește publicația pe internet în vederea asigurării protecției efective a reputației lor ( comparați și </w:t>
      </w:r>
      <w:r w:rsidR="00D4433B" w:rsidRPr="00D4433B">
        <w:rPr>
          <w:lang w:val="ro-RO"/>
        </w:rPr>
        <w:t xml:space="preserve">diferențiați </w:t>
      </w:r>
      <w:r w:rsidR="002D6678" w:rsidRPr="00D4433B">
        <w:rPr>
          <w:lang w:val="ro-RO"/>
        </w:rPr>
        <w:t xml:space="preserve">cu </w:t>
      </w:r>
      <w:r w:rsidR="002D6678" w:rsidRPr="00D4433B">
        <w:rPr>
          <w:i/>
          <w:iCs/>
          <w:lang w:val="ro-RO"/>
        </w:rPr>
        <w:t xml:space="preserve">KU </w:t>
      </w:r>
      <w:r w:rsidR="00D4433B" w:rsidRPr="00D4433B">
        <w:rPr>
          <w:i/>
          <w:iCs/>
          <w:lang w:val="ro-RO"/>
        </w:rPr>
        <w:t xml:space="preserve">împotriva </w:t>
      </w:r>
      <w:r w:rsidR="002D6678" w:rsidRPr="00D4433B">
        <w:rPr>
          <w:i/>
          <w:iCs/>
          <w:lang w:val="ro-RO"/>
        </w:rPr>
        <w:t>Finland</w:t>
      </w:r>
      <w:r w:rsidR="00D4433B" w:rsidRPr="00D4433B">
        <w:rPr>
          <w:i/>
          <w:iCs/>
          <w:lang w:val="ro-RO"/>
        </w:rPr>
        <w:t>ei</w:t>
      </w:r>
      <w:r w:rsidR="002D6678" w:rsidRPr="00D4433B">
        <w:rPr>
          <w:lang w:val="ro-RO"/>
        </w:rPr>
        <w:t>, menționată mai sus, caz în care solicitantul nu avea la dispoziție o astfel de posibilitate).</w:t>
      </w:r>
    </w:p>
    <w:p w14:paraId="45E4C09C" w14:textId="4EC9154D" w:rsidR="0090070F" w:rsidRPr="00D4433B" w:rsidRDefault="00162946" w:rsidP="009E01A0">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68</w:t>
      </w:r>
      <w:r w:rsidRPr="00D4433B">
        <w:rPr>
          <w:lang w:val="ro-RO"/>
        </w:rPr>
        <w:fldChar w:fldCharType="end"/>
      </w:r>
      <w:r w:rsidRPr="00D4433B">
        <w:rPr>
          <w:lang w:val="ro-RO"/>
        </w:rPr>
        <w:t>.  </w:t>
      </w:r>
      <w:r w:rsidR="00D4433B" w:rsidRPr="00D4433B">
        <w:rPr>
          <w:lang w:val="ro-RO"/>
        </w:rPr>
        <w:t xml:space="preserve">Luând în considerare toate circumstanțele prezentei cauze, Curtea acceptă faptul că statul și-a respectat obligația de a stabili un echilibru între drepturile garantate de Articolul 10 și, pe de altă parte, Articolul 8 din Convenție. O limitare a libertății de exprimare de dragul reputației reclamantului în circumstanțele prezentei cauze ar fi fost disproporționată în temeiul Articolului 10 al Convenției (a se vedea </w:t>
      </w:r>
      <w:proofErr w:type="spellStart"/>
      <w:r w:rsidR="00D4433B" w:rsidRPr="00D4433B">
        <w:rPr>
          <w:i/>
          <w:iCs/>
          <w:lang w:val="ro-RO"/>
        </w:rPr>
        <w:t>Karakó</w:t>
      </w:r>
      <w:proofErr w:type="spellEnd"/>
      <w:r w:rsidR="00D4433B" w:rsidRPr="00D4433B">
        <w:rPr>
          <w:i/>
          <w:iCs/>
          <w:lang w:val="ro-RO"/>
        </w:rPr>
        <w:t xml:space="preserve"> împotriva Ungariei</w:t>
      </w:r>
      <w:r w:rsidR="00D4433B" w:rsidRPr="00D4433B">
        <w:rPr>
          <w:lang w:val="ro-RO"/>
        </w:rPr>
        <w:t>, nr. 39311/05, § 28, 28 aprilie 2009)</w:t>
      </w:r>
    </w:p>
    <w:p w14:paraId="73BE0B4B" w14:textId="45FFEBC6" w:rsidR="006D0621" w:rsidRPr="00D4433B" w:rsidRDefault="00162946" w:rsidP="006839EB">
      <w:pPr>
        <w:pStyle w:val="JuPara"/>
        <w:rPr>
          <w:lang w:val="ro-RO"/>
        </w:rPr>
      </w:pPr>
      <w:r w:rsidRPr="00D4433B">
        <w:rPr>
          <w:lang w:val="ro-RO"/>
        </w:rPr>
        <w:fldChar w:fldCharType="begin"/>
      </w:r>
      <w:r w:rsidRPr="00D4433B">
        <w:rPr>
          <w:lang w:val="ro-RO"/>
        </w:rPr>
        <w:instrText xml:space="preserve"> SEQ level0 \*arabic </w:instrText>
      </w:r>
      <w:r w:rsidRPr="00D4433B">
        <w:rPr>
          <w:lang w:val="ro-RO"/>
        </w:rPr>
        <w:fldChar w:fldCharType="separate"/>
      </w:r>
      <w:r w:rsidR="0017292E" w:rsidRPr="00D4433B">
        <w:rPr>
          <w:lang w:val="ro-RO"/>
        </w:rPr>
        <w:t>69</w:t>
      </w:r>
      <w:r w:rsidRPr="00D4433B">
        <w:rPr>
          <w:lang w:val="ro-RO"/>
        </w:rPr>
        <w:fldChar w:fldCharType="end"/>
      </w:r>
      <w:r w:rsidRPr="00D4433B">
        <w:rPr>
          <w:lang w:val="ro-RO"/>
        </w:rPr>
        <w:t>.  </w:t>
      </w:r>
      <w:r w:rsidR="00D4433B" w:rsidRPr="00D4433B">
        <w:rPr>
          <w:lang w:val="ro-RO"/>
        </w:rPr>
        <w:t xml:space="preserve">Prin urmare, </w:t>
      </w:r>
      <w:r w:rsidR="006D0621" w:rsidRPr="00D4433B">
        <w:rPr>
          <w:rStyle w:val="sb8d990e2"/>
          <w:lang w:val="ro-RO"/>
        </w:rPr>
        <w:t>Curt</w:t>
      </w:r>
      <w:r w:rsidR="00D4433B" w:rsidRPr="00D4433B">
        <w:rPr>
          <w:rStyle w:val="sb8d990e2"/>
          <w:lang w:val="ro-RO"/>
        </w:rPr>
        <w:t>ea</w:t>
      </w:r>
      <w:r w:rsidR="006D0621" w:rsidRPr="00D4433B">
        <w:rPr>
          <w:rStyle w:val="sb8d990e2"/>
          <w:lang w:val="ro-RO"/>
        </w:rPr>
        <w:t xml:space="preserve"> </w:t>
      </w:r>
      <w:r w:rsidR="00D4433B" w:rsidRPr="00D4433B">
        <w:rPr>
          <w:rStyle w:val="sb8d990e2"/>
          <w:lang w:val="ro-RO"/>
        </w:rPr>
        <w:t xml:space="preserve">menține obiecția preliminară a </w:t>
      </w:r>
      <w:r w:rsidR="006D0621" w:rsidRPr="00D4433B">
        <w:rPr>
          <w:rStyle w:val="sb8d990e2"/>
          <w:lang w:val="ro-RO"/>
        </w:rPr>
        <w:t>G</w:t>
      </w:r>
      <w:r w:rsidR="00D4433B" w:rsidRPr="00D4433B">
        <w:rPr>
          <w:rStyle w:val="sb8d990e2"/>
          <w:lang w:val="ro-RO"/>
        </w:rPr>
        <w:t>u</w:t>
      </w:r>
      <w:r w:rsidR="006D0621" w:rsidRPr="00D4433B">
        <w:rPr>
          <w:rStyle w:val="sb8d990e2"/>
          <w:lang w:val="ro-RO"/>
        </w:rPr>
        <w:t>vern</w:t>
      </w:r>
      <w:r w:rsidR="00D4433B" w:rsidRPr="00D4433B">
        <w:rPr>
          <w:rStyle w:val="sb8d990e2"/>
          <w:lang w:val="ro-RO"/>
        </w:rPr>
        <w:t>ului</w:t>
      </w:r>
      <w:r w:rsidR="006D0621" w:rsidRPr="00D4433B">
        <w:rPr>
          <w:rStyle w:val="sb8d990e2"/>
          <w:lang w:val="ro-RO"/>
        </w:rPr>
        <w:t>.</w:t>
      </w:r>
    </w:p>
    <w:p w14:paraId="5CC4284B" w14:textId="27BA6894" w:rsidR="0090070F" w:rsidRPr="00D4433B" w:rsidRDefault="006D0621" w:rsidP="006D0621">
      <w:pPr>
        <w:pStyle w:val="JuPara"/>
        <w:rPr>
          <w:lang w:val="ro-RO" w:eastAsia="en-US"/>
        </w:rPr>
      </w:pPr>
      <w:r w:rsidRPr="00D4433B">
        <w:rPr>
          <w:lang w:val="ro-RO" w:eastAsia="en-US"/>
        </w:rPr>
        <w:fldChar w:fldCharType="begin"/>
      </w:r>
      <w:r w:rsidRPr="00D4433B">
        <w:rPr>
          <w:lang w:val="ro-RO" w:eastAsia="en-US"/>
        </w:rPr>
        <w:instrText xml:space="preserve"> SEQ level0 \*arabic </w:instrText>
      </w:r>
      <w:r w:rsidRPr="00D4433B">
        <w:rPr>
          <w:lang w:val="ro-RO" w:eastAsia="en-US"/>
        </w:rPr>
        <w:fldChar w:fldCharType="separate"/>
      </w:r>
      <w:r w:rsidR="0017292E" w:rsidRPr="00D4433B">
        <w:rPr>
          <w:lang w:val="ro-RO" w:eastAsia="en-US"/>
        </w:rPr>
        <w:t>70</w:t>
      </w:r>
      <w:r w:rsidRPr="00D4433B">
        <w:rPr>
          <w:lang w:val="ro-RO" w:eastAsia="en-US"/>
        </w:rPr>
        <w:fldChar w:fldCharType="end"/>
      </w:r>
      <w:r w:rsidRPr="00D4433B">
        <w:rPr>
          <w:lang w:val="ro-RO" w:eastAsia="en-US"/>
        </w:rPr>
        <w:t>.  </w:t>
      </w:r>
      <w:r w:rsidR="00D4433B" w:rsidRPr="00D4433B">
        <w:rPr>
          <w:lang w:val="ro-RO" w:eastAsia="en-US"/>
        </w:rPr>
        <w:t>Având în vedere circumstanțele cazului privit în ansamblu, Curtea constată că nu a existat nicio încălcare a Articolului 8 din Convenție.</w:t>
      </w:r>
    </w:p>
    <w:p w14:paraId="6C4A9C63" w14:textId="74626C6D" w:rsidR="006D0621" w:rsidRPr="00D4433B" w:rsidRDefault="00FF6E7C" w:rsidP="006D0621">
      <w:pPr>
        <w:pStyle w:val="JuHHead"/>
        <w:rPr>
          <w:lang w:val="ro-RO"/>
        </w:rPr>
      </w:pPr>
      <w:r>
        <w:rPr>
          <w:lang w:val="ro-RO"/>
        </w:rPr>
        <w:t xml:space="preserve">PENTRU ACESTE MOTIVE, ÎN MOD UNANIM, </w:t>
      </w:r>
      <w:r w:rsidR="006D0621" w:rsidRPr="00D4433B">
        <w:rPr>
          <w:lang w:val="ro-RO"/>
        </w:rPr>
        <w:t>CURT</w:t>
      </w:r>
      <w:r>
        <w:rPr>
          <w:lang w:val="ro-RO"/>
        </w:rPr>
        <w:t>EA</w:t>
      </w:r>
      <w:r w:rsidR="006D0621" w:rsidRPr="00D4433B">
        <w:rPr>
          <w:lang w:val="ro-RO"/>
        </w:rPr>
        <w:t xml:space="preserve"> </w:t>
      </w:r>
    </w:p>
    <w:p w14:paraId="055E6553" w14:textId="57356A42" w:rsidR="006D0621" w:rsidRPr="00FF6E7C" w:rsidRDefault="006D0621" w:rsidP="006D0621">
      <w:pPr>
        <w:pStyle w:val="JuList"/>
        <w:rPr>
          <w:iCs/>
          <w:lang w:val="ro-RO"/>
        </w:rPr>
      </w:pPr>
      <w:r w:rsidRPr="00D4433B">
        <w:rPr>
          <w:lang w:val="ro-RO"/>
        </w:rPr>
        <w:t>1.  </w:t>
      </w:r>
      <w:r w:rsidR="00FF6E7C" w:rsidRPr="00FF6E7C">
        <w:rPr>
          <w:i/>
          <w:lang w:val="ro-RO"/>
        </w:rPr>
        <w:t xml:space="preserve">Declara </w:t>
      </w:r>
      <w:r w:rsidR="00FF6E7C" w:rsidRPr="00FF6E7C">
        <w:rPr>
          <w:iCs/>
          <w:lang w:val="ro-RO"/>
        </w:rPr>
        <w:t>cererea admisibilă pentru al doilea reclamant și inadmisibilă pentru restul;</w:t>
      </w:r>
    </w:p>
    <w:p w14:paraId="1161CF3D" w14:textId="77777777" w:rsidR="006D0621" w:rsidRPr="00D4433B" w:rsidRDefault="006D0621" w:rsidP="006D0621">
      <w:pPr>
        <w:pStyle w:val="JuList"/>
        <w:rPr>
          <w:lang w:val="ro-RO"/>
        </w:rPr>
      </w:pPr>
    </w:p>
    <w:p w14:paraId="7057FF78" w14:textId="2BC56DA9" w:rsidR="0090070F" w:rsidRPr="00FF6E7C" w:rsidRDefault="006D0621" w:rsidP="006D0621">
      <w:pPr>
        <w:pStyle w:val="JuList"/>
        <w:rPr>
          <w:rStyle w:val="sb8d990e2"/>
          <w:iCs/>
          <w:lang w:val="ro-RO"/>
        </w:rPr>
      </w:pPr>
      <w:r w:rsidRPr="00D4433B">
        <w:rPr>
          <w:lang w:val="ro-RO"/>
        </w:rPr>
        <w:t>2.  </w:t>
      </w:r>
      <w:r w:rsidR="00C379FC">
        <w:rPr>
          <w:rStyle w:val="s6b621b36"/>
          <w:i/>
          <w:lang w:val="ro-RO"/>
        </w:rPr>
        <w:t>Achiesează la</w:t>
      </w:r>
      <w:r w:rsidR="00FF6E7C" w:rsidRPr="00FF6E7C">
        <w:rPr>
          <w:rStyle w:val="s6b621b36"/>
          <w:i/>
          <w:lang w:val="ro-RO"/>
        </w:rPr>
        <w:t xml:space="preserve"> </w:t>
      </w:r>
      <w:r w:rsidR="00FF6E7C" w:rsidRPr="00FF6E7C">
        <w:rPr>
          <w:rStyle w:val="s6b621b36"/>
          <w:iCs/>
          <w:lang w:val="ro-RO"/>
        </w:rPr>
        <w:t>fondul obiecției preliminare a Guvernului privind epuizarea căilor de atac interne cu privire la al doilea reclamant;</w:t>
      </w:r>
    </w:p>
    <w:p w14:paraId="7AF09427" w14:textId="77777777" w:rsidR="006D0621" w:rsidRPr="00D4433B" w:rsidRDefault="006D0621" w:rsidP="006D0621">
      <w:pPr>
        <w:pStyle w:val="JuList"/>
        <w:rPr>
          <w:lang w:val="ro-RO"/>
        </w:rPr>
      </w:pPr>
    </w:p>
    <w:p w14:paraId="7A709C38" w14:textId="17EC9DCC" w:rsidR="0090070F" w:rsidRPr="00C379FC" w:rsidRDefault="006D0621" w:rsidP="006D0621">
      <w:pPr>
        <w:pStyle w:val="JuList"/>
        <w:rPr>
          <w:iCs/>
          <w:lang w:val="ro-RO"/>
        </w:rPr>
      </w:pPr>
      <w:r w:rsidRPr="00D4433B">
        <w:rPr>
          <w:lang w:val="ro-RO"/>
        </w:rPr>
        <w:t>3.  </w:t>
      </w:r>
      <w:r w:rsidR="00C379FC" w:rsidRPr="00C379FC">
        <w:rPr>
          <w:i/>
          <w:lang w:val="ro-RO"/>
        </w:rPr>
        <w:t xml:space="preserve">Hotărăște </w:t>
      </w:r>
      <w:r w:rsidR="00C379FC" w:rsidRPr="00C379FC">
        <w:rPr>
          <w:iCs/>
          <w:lang w:val="ro-RO"/>
        </w:rPr>
        <w:t xml:space="preserve">că nu a existat nicio încălcare a </w:t>
      </w:r>
      <w:r w:rsidR="00C379FC">
        <w:rPr>
          <w:iCs/>
          <w:lang w:val="ro-RO"/>
        </w:rPr>
        <w:t>A</w:t>
      </w:r>
      <w:r w:rsidR="00C379FC" w:rsidRPr="00C379FC">
        <w:rPr>
          <w:iCs/>
          <w:lang w:val="ro-RO"/>
        </w:rPr>
        <w:t xml:space="preserve">rticolului 8 din </w:t>
      </w:r>
      <w:r w:rsidR="00C379FC">
        <w:rPr>
          <w:iCs/>
          <w:lang w:val="ro-RO"/>
        </w:rPr>
        <w:t>C</w:t>
      </w:r>
      <w:r w:rsidR="00C379FC" w:rsidRPr="00C379FC">
        <w:rPr>
          <w:iCs/>
          <w:lang w:val="ro-RO"/>
        </w:rPr>
        <w:t>onvenție și, în consecință</w:t>
      </w:r>
      <w:r w:rsidR="00C379FC" w:rsidRPr="00C379FC">
        <w:rPr>
          <w:i/>
          <w:lang w:val="ro-RO"/>
        </w:rPr>
        <w:t xml:space="preserve">, susține </w:t>
      </w:r>
      <w:r w:rsidR="00C379FC" w:rsidRPr="00C379FC">
        <w:rPr>
          <w:iCs/>
          <w:lang w:val="ro-RO"/>
        </w:rPr>
        <w:t xml:space="preserve">obiecția preliminară menționată mai sus de </w:t>
      </w:r>
      <w:r w:rsidR="00C379FC">
        <w:rPr>
          <w:iCs/>
          <w:lang w:val="ro-RO"/>
        </w:rPr>
        <w:t>G</w:t>
      </w:r>
      <w:r w:rsidR="00C379FC" w:rsidRPr="00C379FC">
        <w:rPr>
          <w:iCs/>
          <w:lang w:val="ro-RO"/>
        </w:rPr>
        <w:t>uvern.</w:t>
      </w:r>
    </w:p>
    <w:p w14:paraId="4D25FA84" w14:textId="197438F1" w:rsidR="006D0621" w:rsidRPr="00D4433B" w:rsidRDefault="00C379FC" w:rsidP="006D0621">
      <w:pPr>
        <w:pStyle w:val="JuParaLast"/>
        <w:rPr>
          <w:lang w:val="ro-RO"/>
        </w:rPr>
      </w:pPr>
      <w:r>
        <w:rPr>
          <w:lang w:val="ro-RO"/>
        </w:rPr>
        <w:t>Redactată în limba engleză</w:t>
      </w:r>
      <w:r w:rsidR="006D0621" w:rsidRPr="00D4433B">
        <w:rPr>
          <w:lang w:val="ro-RO"/>
        </w:rPr>
        <w:t xml:space="preserve">, </w:t>
      </w:r>
      <w:r>
        <w:rPr>
          <w:lang w:val="ro-RO"/>
        </w:rPr>
        <w:t xml:space="preserve">și comunicată în scris la </w:t>
      </w:r>
      <w:r w:rsidR="000E1EED" w:rsidRPr="00D4433B">
        <w:rPr>
          <w:lang w:val="ro-RO"/>
        </w:rPr>
        <w:t xml:space="preserve">16 </w:t>
      </w:r>
      <w:r>
        <w:rPr>
          <w:lang w:val="ro-RO"/>
        </w:rPr>
        <w:t xml:space="preserve">iulie </w:t>
      </w:r>
      <w:r w:rsidR="000E1EED" w:rsidRPr="00D4433B">
        <w:rPr>
          <w:lang w:val="ro-RO"/>
        </w:rPr>
        <w:t>2013</w:t>
      </w:r>
      <w:r w:rsidR="006D0621" w:rsidRPr="00D4433B">
        <w:rPr>
          <w:lang w:val="ro-RO"/>
        </w:rPr>
        <w:t xml:space="preserve">, </w:t>
      </w:r>
      <w:r>
        <w:rPr>
          <w:lang w:val="ro-RO"/>
        </w:rPr>
        <w:t xml:space="preserve">în baza Reglementării </w:t>
      </w:r>
      <w:r w:rsidR="006D0621" w:rsidRPr="00D4433B">
        <w:rPr>
          <w:lang w:val="ro-RO"/>
        </w:rPr>
        <w:t xml:space="preserve">77 §§ 2 </w:t>
      </w:r>
      <w:r>
        <w:rPr>
          <w:lang w:val="ro-RO"/>
        </w:rPr>
        <w:t xml:space="preserve">și </w:t>
      </w:r>
      <w:r w:rsidR="006D0621" w:rsidRPr="00D4433B">
        <w:rPr>
          <w:lang w:val="ro-RO"/>
        </w:rPr>
        <w:t xml:space="preserve">3 </w:t>
      </w:r>
      <w:r>
        <w:rPr>
          <w:lang w:val="ro-RO"/>
        </w:rPr>
        <w:t xml:space="preserve">ale </w:t>
      </w:r>
      <w:r w:rsidR="006D0621" w:rsidRPr="00D4433B">
        <w:rPr>
          <w:lang w:val="ro-RO"/>
        </w:rPr>
        <w:t>R</w:t>
      </w:r>
      <w:r>
        <w:rPr>
          <w:lang w:val="ro-RO"/>
        </w:rPr>
        <w:t xml:space="preserve">egulamentului </w:t>
      </w:r>
      <w:r w:rsidR="006D0621" w:rsidRPr="00D4433B">
        <w:rPr>
          <w:lang w:val="ro-RO"/>
        </w:rPr>
        <w:t>C</w:t>
      </w:r>
      <w:r>
        <w:rPr>
          <w:lang w:val="ro-RO"/>
        </w:rPr>
        <w:t>urții</w:t>
      </w:r>
      <w:r w:rsidR="006D0621" w:rsidRPr="00D4433B">
        <w:rPr>
          <w:lang w:val="ro-RO"/>
        </w:rPr>
        <w:t>.</w:t>
      </w:r>
    </w:p>
    <w:p w14:paraId="450882A1" w14:textId="52361F61" w:rsidR="006D0621" w:rsidRDefault="006D0621" w:rsidP="003B4DCA">
      <w:pPr>
        <w:pStyle w:val="JuSigned"/>
        <w:keepNext/>
        <w:keepLines/>
        <w:tabs>
          <w:tab w:val="clear" w:pos="851"/>
          <w:tab w:val="center" w:pos="993"/>
        </w:tabs>
        <w:rPr>
          <w:lang w:val="ro-RO"/>
        </w:rPr>
      </w:pPr>
      <w:r w:rsidRPr="00D4433B">
        <w:rPr>
          <w:lang w:val="ro-RO"/>
        </w:rPr>
        <w:tab/>
      </w:r>
      <w:proofErr w:type="spellStart"/>
      <w:r w:rsidRPr="00D4433B">
        <w:rPr>
          <w:lang w:val="ro-RO"/>
        </w:rPr>
        <w:t>Françoise</w:t>
      </w:r>
      <w:proofErr w:type="spellEnd"/>
      <w:r w:rsidRPr="00D4433B">
        <w:rPr>
          <w:lang w:val="ro-RO"/>
        </w:rPr>
        <w:t xml:space="preserve"> </w:t>
      </w:r>
      <w:proofErr w:type="spellStart"/>
      <w:r w:rsidRPr="00D4433B">
        <w:rPr>
          <w:lang w:val="ro-RO"/>
        </w:rPr>
        <w:t>Elens</w:t>
      </w:r>
      <w:proofErr w:type="spellEnd"/>
      <w:r w:rsidRPr="00D4433B">
        <w:rPr>
          <w:lang w:val="ro-RO"/>
        </w:rPr>
        <w:t xml:space="preserve">-Passos </w:t>
      </w:r>
      <w:r w:rsidRPr="00D4433B">
        <w:rPr>
          <w:lang w:val="ro-RO"/>
        </w:rPr>
        <w:tab/>
      </w:r>
      <w:proofErr w:type="spellStart"/>
      <w:r w:rsidRPr="00D4433B">
        <w:rPr>
          <w:szCs w:val="24"/>
          <w:lang w:val="ro-RO"/>
        </w:rPr>
        <w:t>Ineta</w:t>
      </w:r>
      <w:proofErr w:type="spellEnd"/>
      <w:r w:rsidRPr="00D4433B">
        <w:rPr>
          <w:szCs w:val="24"/>
          <w:lang w:val="ro-RO"/>
        </w:rPr>
        <w:t xml:space="preserve"> </w:t>
      </w:r>
      <w:proofErr w:type="spellStart"/>
      <w:r w:rsidRPr="00D4433B">
        <w:rPr>
          <w:szCs w:val="24"/>
          <w:lang w:val="ro-RO"/>
        </w:rPr>
        <w:t>Ziemele</w:t>
      </w:r>
      <w:proofErr w:type="spellEnd"/>
      <w:r w:rsidR="003E32C9" w:rsidRPr="00D4433B">
        <w:rPr>
          <w:szCs w:val="24"/>
          <w:lang w:val="ro-RO"/>
        </w:rPr>
        <w:br/>
      </w:r>
      <w:r w:rsidRPr="00D4433B">
        <w:rPr>
          <w:lang w:val="ro-RO"/>
        </w:rPr>
        <w:tab/>
      </w:r>
      <w:r w:rsidR="00C379FC">
        <w:rPr>
          <w:iCs/>
          <w:lang w:val="ro-RO"/>
        </w:rPr>
        <w:t>Grefier</w:t>
      </w:r>
      <w:r w:rsidRPr="00D4433B">
        <w:rPr>
          <w:lang w:val="ro-RO"/>
        </w:rPr>
        <w:tab/>
        <w:t>Pre</w:t>
      </w:r>
      <w:r w:rsidR="00C379FC">
        <w:rPr>
          <w:lang w:val="ro-RO"/>
        </w:rPr>
        <w:t>ședinte</w:t>
      </w:r>
    </w:p>
    <w:p w14:paraId="015E9EF7" w14:textId="26050B3A" w:rsidR="003D383E" w:rsidRDefault="003D383E" w:rsidP="003D383E">
      <w:pPr>
        <w:pStyle w:val="JuParaLast"/>
        <w:rPr>
          <w:lang w:val="ro-RO"/>
        </w:rPr>
      </w:pPr>
    </w:p>
    <w:p w14:paraId="2A8C6AF7" w14:textId="67F0623A" w:rsidR="003D383E" w:rsidRDefault="003D383E" w:rsidP="003D383E">
      <w:pPr>
        <w:pStyle w:val="JuPara"/>
        <w:rPr>
          <w:lang w:val="ro-RO"/>
        </w:rPr>
      </w:pPr>
    </w:p>
    <w:p w14:paraId="0BF54120" w14:textId="5AD00F96" w:rsidR="003D383E" w:rsidRDefault="003D383E" w:rsidP="003D383E">
      <w:pPr>
        <w:pStyle w:val="JuPara"/>
        <w:rPr>
          <w:lang w:val="ro-RO"/>
        </w:rPr>
      </w:pPr>
    </w:p>
    <w:p w14:paraId="7AF2D8B6" w14:textId="5170BB8C" w:rsidR="003D383E" w:rsidRDefault="003D383E" w:rsidP="003D383E">
      <w:pPr>
        <w:pStyle w:val="JuPara"/>
        <w:rPr>
          <w:lang w:val="ro-RO"/>
        </w:rPr>
      </w:pPr>
    </w:p>
    <w:p w14:paraId="6CD7C665" w14:textId="2CE2F70C" w:rsidR="003D383E" w:rsidRDefault="003D383E" w:rsidP="003D383E">
      <w:pPr>
        <w:pStyle w:val="JuPara"/>
        <w:rPr>
          <w:lang w:val="ro-RO"/>
        </w:rPr>
      </w:pPr>
    </w:p>
    <w:p w14:paraId="1A2C3FA2" w14:textId="2E91ED23" w:rsidR="003D383E" w:rsidRDefault="003D383E" w:rsidP="003D383E">
      <w:pPr>
        <w:pStyle w:val="JuPara"/>
        <w:rPr>
          <w:lang w:val="ro-RO"/>
        </w:rPr>
      </w:pPr>
    </w:p>
    <w:p w14:paraId="2F4335E7" w14:textId="40779EC2" w:rsidR="003D383E" w:rsidRDefault="003D383E" w:rsidP="003D383E">
      <w:pPr>
        <w:pStyle w:val="JuPara"/>
        <w:rPr>
          <w:lang w:val="ro-RO"/>
        </w:rPr>
      </w:pPr>
    </w:p>
    <w:p w14:paraId="48124906" w14:textId="00884F23" w:rsidR="003D383E" w:rsidRDefault="003D383E" w:rsidP="003D383E">
      <w:pPr>
        <w:pStyle w:val="JuPara"/>
        <w:rPr>
          <w:lang w:val="ro-RO"/>
        </w:rPr>
      </w:pPr>
    </w:p>
    <w:p w14:paraId="0850B108" w14:textId="1AA4460B" w:rsidR="003D383E" w:rsidRDefault="003D383E" w:rsidP="003D383E">
      <w:pPr>
        <w:pStyle w:val="JuPara"/>
        <w:rPr>
          <w:lang w:val="ro-RO"/>
        </w:rPr>
      </w:pPr>
    </w:p>
    <w:p w14:paraId="2B1FD393" w14:textId="7F0479BD" w:rsidR="003D383E" w:rsidRDefault="003D383E" w:rsidP="003D383E">
      <w:pPr>
        <w:pStyle w:val="JuPara"/>
        <w:rPr>
          <w:lang w:val="ro-RO"/>
        </w:rPr>
      </w:pPr>
    </w:p>
    <w:p w14:paraId="69BF4D38" w14:textId="6B0241D2" w:rsidR="003D383E" w:rsidRDefault="003D383E" w:rsidP="003D383E">
      <w:pPr>
        <w:pStyle w:val="JuPara"/>
        <w:rPr>
          <w:lang w:val="ro-RO"/>
        </w:rPr>
      </w:pPr>
    </w:p>
    <w:p w14:paraId="50A40562" w14:textId="3F6F5040" w:rsidR="003D383E" w:rsidRDefault="003D383E" w:rsidP="003D383E">
      <w:pPr>
        <w:pStyle w:val="JuPara"/>
        <w:rPr>
          <w:lang w:val="ro-RO"/>
        </w:rPr>
      </w:pPr>
    </w:p>
    <w:p w14:paraId="2C668450" w14:textId="73EEBB77" w:rsidR="003D383E" w:rsidRDefault="003D383E" w:rsidP="003D383E">
      <w:pPr>
        <w:pStyle w:val="JuPara"/>
        <w:rPr>
          <w:lang w:val="ro-RO"/>
        </w:rPr>
      </w:pPr>
    </w:p>
    <w:p w14:paraId="289AAC3C" w14:textId="50CE31C5" w:rsidR="003D383E" w:rsidRDefault="003D383E" w:rsidP="003D383E">
      <w:pPr>
        <w:pStyle w:val="JuPara"/>
        <w:rPr>
          <w:lang w:val="ro-RO"/>
        </w:rPr>
      </w:pPr>
    </w:p>
    <w:p w14:paraId="11582058" w14:textId="7CDD9845" w:rsidR="003D383E" w:rsidRDefault="003D383E" w:rsidP="003D383E">
      <w:pPr>
        <w:pStyle w:val="JuPara"/>
        <w:rPr>
          <w:lang w:val="ro-RO"/>
        </w:rPr>
      </w:pPr>
    </w:p>
    <w:p w14:paraId="5C279A22" w14:textId="7650E8FC" w:rsidR="003D383E" w:rsidRDefault="003D383E" w:rsidP="003D383E">
      <w:pPr>
        <w:pStyle w:val="JuPara"/>
        <w:rPr>
          <w:lang w:val="ro-RO"/>
        </w:rPr>
      </w:pPr>
    </w:p>
    <w:p w14:paraId="1906F533" w14:textId="3AF95D80" w:rsidR="003D383E" w:rsidRDefault="003D383E" w:rsidP="003D383E">
      <w:pPr>
        <w:pStyle w:val="JuPara"/>
        <w:rPr>
          <w:lang w:val="ro-RO"/>
        </w:rPr>
      </w:pPr>
    </w:p>
    <w:p w14:paraId="0B84C547" w14:textId="7F90FD18" w:rsidR="003D383E" w:rsidRDefault="003D383E" w:rsidP="003D383E">
      <w:pPr>
        <w:pStyle w:val="JuPara"/>
        <w:rPr>
          <w:lang w:val="ro-RO"/>
        </w:rPr>
      </w:pPr>
    </w:p>
    <w:p w14:paraId="784A8CC8" w14:textId="5F07D9A7" w:rsidR="003D383E" w:rsidRDefault="003D383E" w:rsidP="003D383E">
      <w:pPr>
        <w:pStyle w:val="JuPara"/>
        <w:rPr>
          <w:lang w:val="ro-RO"/>
        </w:rPr>
      </w:pPr>
    </w:p>
    <w:p w14:paraId="4B35C564" w14:textId="68E2727B" w:rsidR="003D383E" w:rsidRDefault="003D383E" w:rsidP="003D383E">
      <w:pPr>
        <w:pStyle w:val="JuPara"/>
        <w:rPr>
          <w:lang w:val="ro-RO"/>
        </w:rPr>
      </w:pPr>
    </w:p>
    <w:p w14:paraId="524EBAC4" w14:textId="315FC220" w:rsidR="003D383E" w:rsidRDefault="003D383E" w:rsidP="003D383E">
      <w:pPr>
        <w:pStyle w:val="JuPara"/>
        <w:rPr>
          <w:lang w:val="ro-RO"/>
        </w:rPr>
      </w:pPr>
    </w:p>
    <w:p w14:paraId="41A7260F" w14:textId="446BDE86" w:rsidR="003D383E" w:rsidRDefault="003D383E" w:rsidP="003D383E">
      <w:pPr>
        <w:pStyle w:val="JuPara"/>
        <w:rPr>
          <w:lang w:val="ro-RO"/>
        </w:rPr>
      </w:pPr>
    </w:p>
    <w:p w14:paraId="794482AF" w14:textId="545662C4" w:rsidR="003D383E" w:rsidRDefault="003D383E" w:rsidP="003D383E">
      <w:pPr>
        <w:pStyle w:val="JuPara"/>
        <w:rPr>
          <w:lang w:val="ro-RO"/>
        </w:rPr>
      </w:pPr>
    </w:p>
    <w:p w14:paraId="1117E853" w14:textId="5D3879F0" w:rsidR="003D383E" w:rsidRDefault="003D383E" w:rsidP="003D383E">
      <w:pPr>
        <w:pStyle w:val="JuPara"/>
        <w:rPr>
          <w:lang w:val="ro-RO"/>
        </w:rPr>
      </w:pPr>
    </w:p>
    <w:p w14:paraId="5AAAD875" w14:textId="673EEC66" w:rsidR="003D383E" w:rsidRDefault="003D383E" w:rsidP="003D383E">
      <w:pPr>
        <w:pStyle w:val="JuPara"/>
        <w:rPr>
          <w:lang w:val="ro-RO"/>
        </w:rPr>
      </w:pPr>
    </w:p>
    <w:p w14:paraId="73FFF478" w14:textId="3D52A39E" w:rsidR="003D383E" w:rsidRDefault="003D383E" w:rsidP="003D383E">
      <w:pPr>
        <w:pStyle w:val="JuPara"/>
        <w:rPr>
          <w:lang w:val="ro-RO"/>
        </w:rPr>
      </w:pPr>
    </w:p>
    <w:p w14:paraId="265BC056" w14:textId="28EE7836" w:rsidR="003D383E" w:rsidRDefault="003D383E" w:rsidP="003D383E">
      <w:pPr>
        <w:pStyle w:val="JuPara"/>
        <w:rPr>
          <w:lang w:val="ro-RO"/>
        </w:rPr>
      </w:pPr>
    </w:p>
    <w:p w14:paraId="5F8688B5" w14:textId="47376078" w:rsidR="003D383E" w:rsidRDefault="003D383E" w:rsidP="003D383E">
      <w:pPr>
        <w:pStyle w:val="JuPara"/>
        <w:rPr>
          <w:lang w:val="ro-RO"/>
        </w:rPr>
      </w:pPr>
    </w:p>
    <w:p w14:paraId="327CB7D5" w14:textId="75A530DB" w:rsidR="003D383E" w:rsidRDefault="003D383E" w:rsidP="003D383E">
      <w:pPr>
        <w:pStyle w:val="JuPara"/>
        <w:rPr>
          <w:lang w:val="ro-RO"/>
        </w:rPr>
      </w:pPr>
    </w:p>
    <w:p w14:paraId="5D503087" w14:textId="68628554" w:rsidR="003D383E" w:rsidRDefault="003D383E" w:rsidP="003D383E">
      <w:pPr>
        <w:pStyle w:val="JuPara"/>
        <w:rPr>
          <w:lang w:val="ro-RO"/>
        </w:rPr>
      </w:pPr>
    </w:p>
    <w:p w14:paraId="3664DF7C" w14:textId="56DE697E" w:rsidR="003D383E" w:rsidRDefault="003D383E" w:rsidP="0087182F">
      <w:pPr>
        <w:pStyle w:val="JuPara"/>
        <w:ind w:firstLine="0"/>
        <w:rPr>
          <w:lang w:val="ro-RO"/>
        </w:rPr>
      </w:pPr>
    </w:p>
    <w:p w14:paraId="726D31A1" w14:textId="0769F7F2" w:rsidR="003D383E" w:rsidRDefault="003D383E" w:rsidP="003D383E">
      <w:pPr>
        <w:spacing w:after="120"/>
        <w:rPr>
          <w:rFonts w:eastAsia="Calibri" w:cs="Calibri"/>
          <w:sz w:val="22"/>
          <w:lang w:val="ro-RO" w:eastAsia="en-GB"/>
        </w:rPr>
      </w:pPr>
      <w:proofErr w:type="spellStart"/>
      <w:r>
        <w:rPr>
          <w:rFonts w:eastAsia="Calibri" w:cs="Calibri"/>
        </w:rPr>
        <w:t>Subsemnata</w:t>
      </w:r>
      <w:proofErr w:type="spellEnd"/>
      <w:r>
        <w:rPr>
          <w:rFonts w:eastAsia="Calibri" w:cs="Calibri"/>
        </w:rPr>
        <w:t xml:space="preserve">, </w:t>
      </w:r>
      <w:proofErr w:type="spellStart"/>
      <w:r>
        <w:rPr>
          <w:rFonts w:eastAsia="Calibri" w:cs="Calibri"/>
          <w:b/>
          <w:i/>
        </w:rPr>
        <w:t>Marga</w:t>
      </w:r>
      <w:proofErr w:type="spellEnd"/>
      <w:r>
        <w:rPr>
          <w:rFonts w:eastAsia="Calibri" w:cs="Calibri"/>
          <w:b/>
          <w:i/>
        </w:rPr>
        <w:t xml:space="preserve"> Roxana </w:t>
      </w:r>
      <w:proofErr w:type="spellStart"/>
      <w:r>
        <w:rPr>
          <w:rFonts w:eastAsia="Calibri" w:cs="Calibri"/>
          <w:b/>
          <w:i/>
        </w:rPr>
        <w:t>SAVU</w:t>
      </w:r>
      <w:proofErr w:type="spellEnd"/>
      <w:r>
        <w:rPr>
          <w:rFonts w:eastAsia="Calibri" w:cs="Calibri"/>
        </w:rPr>
        <w:t xml:space="preserve">, interpret </w:t>
      </w:r>
      <w:proofErr w:type="spellStart"/>
      <w:r>
        <w:rPr>
          <w:rFonts w:eastAsia="Calibri" w:cs="Calibri"/>
        </w:rPr>
        <w:t>şi</w:t>
      </w:r>
      <w:proofErr w:type="spellEnd"/>
      <w:r>
        <w:rPr>
          <w:rFonts w:eastAsia="Calibri" w:cs="Calibri"/>
        </w:rPr>
        <w:t xml:space="preserve"> </w:t>
      </w:r>
      <w:proofErr w:type="spellStart"/>
      <w:r>
        <w:rPr>
          <w:rFonts w:eastAsia="Calibri" w:cs="Calibri"/>
        </w:rPr>
        <w:t>traducător</w:t>
      </w:r>
      <w:proofErr w:type="spellEnd"/>
      <w:r>
        <w:rPr>
          <w:rFonts w:eastAsia="Calibri" w:cs="Calibri"/>
        </w:rPr>
        <w:t xml:space="preserve"> </w:t>
      </w:r>
      <w:proofErr w:type="spellStart"/>
      <w:r>
        <w:rPr>
          <w:rFonts w:eastAsia="Calibri" w:cs="Calibri"/>
        </w:rPr>
        <w:t>autorizat</w:t>
      </w:r>
      <w:proofErr w:type="spellEnd"/>
      <w:r>
        <w:rPr>
          <w:rFonts w:eastAsia="Calibri" w:cs="Calibri"/>
        </w:rPr>
        <w:t xml:space="preserve"> </w:t>
      </w:r>
      <w:proofErr w:type="spellStart"/>
      <w:r>
        <w:rPr>
          <w:rFonts w:eastAsia="Calibri" w:cs="Calibri"/>
        </w:rPr>
        <w:t>pentru</w:t>
      </w:r>
      <w:proofErr w:type="spellEnd"/>
      <w:r>
        <w:rPr>
          <w:rFonts w:eastAsia="Calibri" w:cs="Calibri"/>
        </w:rPr>
        <w:t xml:space="preserve"> </w:t>
      </w:r>
      <w:proofErr w:type="spellStart"/>
      <w:r>
        <w:rPr>
          <w:rFonts w:eastAsia="Calibri" w:cs="Calibri"/>
        </w:rPr>
        <w:t>limbile</w:t>
      </w:r>
      <w:proofErr w:type="spellEnd"/>
      <w:r>
        <w:rPr>
          <w:rFonts w:eastAsia="Calibri" w:cs="Calibri"/>
        </w:rPr>
        <w:t xml:space="preserve"> </w:t>
      </w:r>
      <w:proofErr w:type="spellStart"/>
      <w:r>
        <w:rPr>
          <w:rFonts w:eastAsia="Calibri" w:cs="Calibri"/>
        </w:rPr>
        <w:t>străine</w:t>
      </w:r>
      <w:proofErr w:type="spellEnd"/>
      <w:r>
        <w:rPr>
          <w:rFonts w:eastAsia="Calibri" w:cs="Calibri"/>
        </w:rPr>
        <w:t xml:space="preserve"> </w:t>
      </w:r>
      <w:proofErr w:type="spellStart"/>
      <w:r>
        <w:rPr>
          <w:rFonts w:eastAsia="Calibri" w:cs="Calibri"/>
        </w:rPr>
        <w:t>engleză-rusă</w:t>
      </w:r>
      <w:proofErr w:type="spellEnd"/>
      <w:r>
        <w:rPr>
          <w:rFonts w:eastAsia="Calibri" w:cs="Calibri"/>
        </w:rPr>
        <w:t xml:space="preserve"> </w:t>
      </w:r>
      <w:proofErr w:type="spellStart"/>
      <w:r>
        <w:rPr>
          <w:rFonts w:eastAsia="Calibri" w:cs="Calibri"/>
        </w:rPr>
        <w:t>în</w:t>
      </w:r>
      <w:proofErr w:type="spellEnd"/>
      <w:r>
        <w:rPr>
          <w:rFonts w:eastAsia="Calibri" w:cs="Calibri"/>
        </w:rPr>
        <w:t xml:space="preserve"> </w:t>
      </w:r>
      <w:proofErr w:type="spellStart"/>
      <w:r>
        <w:rPr>
          <w:rFonts w:eastAsia="Calibri" w:cs="Calibri"/>
        </w:rPr>
        <w:t>temeiul</w:t>
      </w:r>
      <w:proofErr w:type="spellEnd"/>
      <w:r>
        <w:rPr>
          <w:rFonts w:eastAsia="Calibri" w:cs="Calibri"/>
        </w:rPr>
        <w:t xml:space="preserve"> </w:t>
      </w:r>
      <w:proofErr w:type="spellStart"/>
      <w:r>
        <w:rPr>
          <w:rFonts w:eastAsia="Calibri" w:cs="Calibri"/>
        </w:rPr>
        <w:t>autorizației</w:t>
      </w:r>
      <w:proofErr w:type="spellEnd"/>
      <w:r>
        <w:rPr>
          <w:rFonts w:eastAsia="Calibri" w:cs="Calibri"/>
        </w:rPr>
        <w:t xml:space="preserve"> nr. </w:t>
      </w:r>
      <w:r>
        <w:rPr>
          <w:rFonts w:eastAsia="Calibri" w:cs="Calibri"/>
          <w:b/>
          <w:i/>
        </w:rPr>
        <w:t xml:space="preserve">7609 </w:t>
      </w:r>
      <w:r>
        <w:rPr>
          <w:rFonts w:eastAsia="Calibri" w:cs="Calibri"/>
        </w:rPr>
        <w:t xml:space="preserve">din data de 18.09.2012, </w:t>
      </w:r>
      <w:proofErr w:type="spellStart"/>
      <w:r>
        <w:rPr>
          <w:rFonts w:eastAsia="Calibri" w:cs="Calibri"/>
        </w:rPr>
        <w:t>eliberată</w:t>
      </w:r>
      <w:proofErr w:type="spellEnd"/>
      <w:r>
        <w:rPr>
          <w:rFonts w:eastAsia="Calibri" w:cs="Calibri"/>
        </w:rPr>
        <w:t xml:space="preserve"> de </w:t>
      </w:r>
      <w:proofErr w:type="spellStart"/>
      <w:r>
        <w:rPr>
          <w:rFonts w:eastAsia="Calibri" w:cs="Calibri"/>
        </w:rPr>
        <w:t>Ministerul</w:t>
      </w:r>
      <w:proofErr w:type="spellEnd"/>
      <w:r>
        <w:rPr>
          <w:rFonts w:eastAsia="Calibri" w:cs="Calibri"/>
        </w:rPr>
        <w:t xml:space="preserve"> </w:t>
      </w:r>
      <w:proofErr w:type="spellStart"/>
      <w:r>
        <w:rPr>
          <w:rFonts w:eastAsia="Calibri" w:cs="Calibri"/>
        </w:rPr>
        <w:t>Justiției</w:t>
      </w:r>
      <w:proofErr w:type="spellEnd"/>
      <w:r>
        <w:rPr>
          <w:rFonts w:eastAsia="Calibri" w:cs="Calibri"/>
        </w:rPr>
        <w:t xml:space="preserve"> din </w:t>
      </w:r>
      <w:proofErr w:type="spellStart"/>
      <w:r>
        <w:rPr>
          <w:rFonts w:eastAsia="Calibri" w:cs="Calibri"/>
        </w:rPr>
        <w:t>România</w:t>
      </w:r>
      <w:proofErr w:type="spellEnd"/>
      <w:r>
        <w:rPr>
          <w:rFonts w:eastAsia="Calibri" w:cs="Calibri"/>
        </w:rPr>
        <w:t xml:space="preserve">, </w:t>
      </w:r>
      <w:proofErr w:type="spellStart"/>
      <w:r>
        <w:rPr>
          <w:rFonts w:eastAsia="Calibri" w:cs="Calibri"/>
        </w:rPr>
        <w:t>certific</w:t>
      </w:r>
      <w:proofErr w:type="spellEnd"/>
      <w:r>
        <w:rPr>
          <w:rFonts w:eastAsia="Calibri" w:cs="Calibri"/>
        </w:rPr>
        <w:t xml:space="preserve"> </w:t>
      </w:r>
      <w:proofErr w:type="spellStart"/>
      <w:r>
        <w:rPr>
          <w:rFonts w:eastAsia="Calibri" w:cs="Calibri"/>
        </w:rPr>
        <w:t>exactitatea</w:t>
      </w:r>
      <w:proofErr w:type="spellEnd"/>
      <w:r>
        <w:rPr>
          <w:rFonts w:eastAsia="Calibri" w:cs="Calibri"/>
        </w:rPr>
        <w:t xml:space="preserve"> </w:t>
      </w:r>
      <w:proofErr w:type="spellStart"/>
      <w:r>
        <w:rPr>
          <w:rFonts w:eastAsia="Calibri" w:cs="Calibri"/>
        </w:rPr>
        <w:t>traducerii</w:t>
      </w:r>
      <w:proofErr w:type="spellEnd"/>
      <w:r>
        <w:rPr>
          <w:rFonts w:eastAsia="Calibri" w:cs="Calibri"/>
        </w:rPr>
        <w:t xml:space="preserve"> </w:t>
      </w:r>
      <w:proofErr w:type="spellStart"/>
      <w:r>
        <w:rPr>
          <w:rFonts w:eastAsia="Calibri" w:cs="Calibri"/>
        </w:rPr>
        <w:t>efectuate</w:t>
      </w:r>
      <w:proofErr w:type="spellEnd"/>
      <w:r>
        <w:rPr>
          <w:rFonts w:eastAsia="Calibri" w:cs="Calibri"/>
        </w:rPr>
        <w:t xml:space="preserve"> din </w:t>
      </w:r>
      <w:proofErr w:type="spellStart"/>
      <w:r>
        <w:rPr>
          <w:rFonts w:eastAsia="Calibri" w:cs="Calibri"/>
        </w:rPr>
        <w:t>limba</w:t>
      </w:r>
      <w:proofErr w:type="spellEnd"/>
      <w:r>
        <w:rPr>
          <w:rFonts w:eastAsia="Calibri" w:cs="Calibri"/>
        </w:rPr>
        <w:t xml:space="preserve"> </w:t>
      </w:r>
      <w:proofErr w:type="spellStart"/>
      <w:r>
        <w:rPr>
          <w:rFonts w:eastAsia="Calibri" w:cs="Calibri"/>
        </w:rPr>
        <w:t>engleză</w:t>
      </w:r>
      <w:proofErr w:type="spellEnd"/>
      <w:r>
        <w:rPr>
          <w:rFonts w:eastAsia="Calibri" w:cs="Calibri"/>
        </w:rPr>
        <w:t xml:space="preserve"> </w:t>
      </w:r>
      <w:proofErr w:type="spellStart"/>
      <w:r>
        <w:rPr>
          <w:rFonts w:eastAsia="Calibri" w:cs="Calibri"/>
        </w:rPr>
        <w:t>în</w:t>
      </w:r>
      <w:proofErr w:type="spellEnd"/>
      <w:r>
        <w:rPr>
          <w:rFonts w:eastAsia="Calibri" w:cs="Calibri"/>
        </w:rPr>
        <w:t xml:space="preserve"> </w:t>
      </w:r>
      <w:proofErr w:type="spellStart"/>
      <w:r>
        <w:rPr>
          <w:rFonts w:eastAsia="Calibri" w:cs="Calibri"/>
        </w:rPr>
        <w:t>limba</w:t>
      </w:r>
      <w:proofErr w:type="spellEnd"/>
      <w:r>
        <w:rPr>
          <w:rFonts w:eastAsia="Calibri" w:cs="Calibri"/>
        </w:rPr>
        <w:t xml:space="preserve"> </w:t>
      </w:r>
      <w:proofErr w:type="spellStart"/>
      <w:r>
        <w:rPr>
          <w:rFonts w:eastAsia="Calibri" w:cs="Calibri"/>
        </w:rPr>
        <w:t>română</w:t>
      </w:r>
      <w:proofErr w:type="spellEnd"/>
      <w:r>
        <w:rPr>
          <w:rFonts w:eastAsia="Calibri" w:cs="Calibri"/>
        </w:rPr>
        <w:t xml:space="preserve">, </w:t>
      </w:r>
      <w:proofErr w:type="spellStart"/>
      <w:r>
        <w:rPr>
          <w:rFonts w:eastAsia="Calibri" w:cs="Calibri"/>
        </w:rPr>
        <w:t>că</w:t>
      </w:r>
      <w:proofErr w:type="spellEnd"/>
      <w:r>
        <w:rPr>
          <w:rFonts w:eastAsia="Calibri" w:cs="Calibri"/>
        </w:rPr>
        <w:t xml:space="preserve"> </w:t>
      </w:r>
      <w:proofErr w:type="spellStart"/>
      <w:r>
        <w:rPr>
          <w:rFonts w:eastAsia="Calibri" w:cs="Calibri"/>
        </w:rPr>
        <w:t>textul</w:t>
      </w:r>
      <w:proofErr w:type="spellEnd"/>
      <w:r>
        <w:rPr>
          <w:rFonts w:eastAsia="Calibri" w:cs="Calibri"/>
        </w:rPr>
        <w:t xml:space="preserve"> </w:t>
      </w:r>
      <w:proofErr w:type="spellStart"/>
      <w:r>
        <w:rPr>
          <w:rFonts w:eastAsia="Calibri" w:cs="Calibri"/>
        </w:rPr>
        <w:t>prezentat</w:t>
      </w:r>
      <w:proofErr w:type="spellEnd"/>
      <w:r>
        <w:rPr>
          <w:rFonts w:eastAsia="Calibri" w:cs="Calibri"/>
        </w:rPr>
        <w:t xml:space="preserve"> a </w:t>
      </w:r>
      <w:proofErr w:type="spellStart"/>
      <w:r>
        <w:rPr>
          <w:rFonts w:eastAsia="Calibri" w:cs="Calibri"/>
        </w:rPr>
        <w:t>fost</w:t>
      </w:r>
      <w:proofErr w:type="spellEnd"/>
      <w:r>
        <w:rPr>
          <w:rFonts w:eastAsia="Calibri" w:cs="Calibri"/>
        </w:rPr>
        <w:t xml:space="preserve"> </w:t>
      </w:r>
      <w:proofErr w:type="spellStart"/>
      <w:r>
        <w:rPr>
          <w:rFonts w:eastAsia="Calibri" w:cs="Calibri"/>
        </w:rPr>
        <w:t>tradus</w:t>
      </w:r>
      <w:proofErr w:type="spellEnd"/>
      <w:r>
        <w:rPr>
          <w:rFonts w:eastAsia="Calibri" w:cs="Calibri"/>
        </w:rPr>
        <w:t xml:space="preserve"> </w:t>
      </w:r>
      <w:r w:rsidR="0087182F">
        <w:rPr>
          <w:rFonts w:eastAsia="Calibri" w:cs="Calibri"/>
        </w:rPr>
        <w:t>integral</w:t>
      </w:r>
      <w:r>
        <w:rPr>
          <w:rFonts w:eastAsia="Calibri" w:cs="Calibri"/>
        </w:rPr>
        <w:t xml:space="preserve">, </w:t>
      </w:r>
      <w:proofErr w:type="spellStart"/>
      <w:r>
        <w:rPr>
          <w:rFonts w:eastAsia="Calibri" w:cs="Calibri"/>
        </w:rPr>
        <w:t>şi</w:t>
      </w:r>
      <w:proofErr w:type="spellEnd"/>
      <w:r>
        <w:rPr>
          <w:rFonts w:eastAsia="Calibri" w:cs="Calibri"/>
        </w:rPr>
        <w:t xml:space="preserve"> </w:t>
      </w:r>
      <w:proofErr w:type="spellStart"/>
      <w:r>
        <w:rPr>
          <w:rFonts w:eastAsia="Calibri" w:cs="Calibri"/>
        </w:rPr>
        <w:t>că</w:t>
      </w:r>
      <w:proofErr w:type="spellEnd"/>
      <w:r>
        <w:rPr>
          <w:rFonts w:eastAsia="Calibri" w:cs="Calibri"/>
        </w:rPr>
        <w:t xml:space="preserve">, </w:t>
      </w:r>
      <w:proofErr w:type="spellStart"/>
      <w:r>
        <w:rPr>
          <w:rFonts w:eastAsia="Calibri" w:cs="Calibri"/>
        </w:rPr>
        <w:t>prin</w:t>
      </w:r>
      <w:proofErr w:type="spellEnd"/>
      <w:r>
        <w:rPr>
          <w:rFonts w:eastAsia="Calibri" w:cs="Calibri"/>
        </w:rPr>
        <w:t xml:space="preserve"> </w:t>
      </w:r>
      <w:proofErr w:type="spellStart"/>
      <w:r>
        <w:rPr>
          <w:rFonts w:eastAsia="Calibri" w:cs="Calibri"/>
        </w:rPr>
        <w:t>traducere</w:t>
      </w:r>
      <w:proofErr w:type="spellEnd"/>
      <w:r>
        <w:rPr>
          <w:rFonts w:eastAsia="Calibri" w:cs="Calibri"/>
        </w:rPr>
        <w:t xml:space="preserve">, </w:t>
      </w:r>
      <w:proofErr w:type="spellStart"/>
      <w:r>
        <w:rPr>
          <w:rFonts w:eastAsia="Calibri" w:cs="Calibri"/>
        </w:rPr>
        <w:t>înscrisului</w:t>
      </w:r>
      <w:proofErr w:type="spellEnd"/>
      <w:r>
        <w:rPr>
          <w:rFonts w:eastAsia="Calibri" w:cs="Calibri"/>
        </w:rPr>
        <w:t xml:space="preserve"> nu </w:t>
      </w:r>
      <w:proofErr w:type="spellStart"/>
      <w:r>
        <w:rPr>
          <w:rFonts w:eastAsia="Calibri" w:cs="Calibri"/>
        </w:rPr>
        <w:t>i</w:t>
      </w:r>
      <w:proofErr w:type="spellEnd"/>
      <w:r>
        <w:rPr>
          <w:rFonts w:eastAsia="Calibri" w:cs="Calibri"/>
        </w:rPr>
        <w:t xml:space="preserve">-au </w:t>
      </w:r>
      <w:proofErr w:type="spellStart"/>
      <w:r>
        <w:rPr>
          <w:rFonts w:eastAsia="Calibri" w:cs="Calibri"/>
        </w:rPr>
        <w:t>fost</w:t>
      </w:r>
      <w:proofErr w:type="spellEnd"/>
      <w:r>
        <w:rPr>
          <w:rFonts w:eastAsia="Calibri" w:cs="Calibri"/>
        </w:rPr>
        <w:t xml:space="preserve"> </w:t>
      </w:r>
      <w:proofErr w:type="spellStart"/>
      <w:r>
        <w:rPr>
          <w:rFonts w:eastAsia="Calibri" w:cs="Calibri"/>
        </w:rPr>
        <w:t>denaturate</w:t>
      </w:r>
      <w:proofErr w:type="spellEnd"/>
      <w:r>
        <w:rPr>
          <w:rFonts w:eastAsia="Calibri" w:cs="Calibri"/>
        </w:rPr>
        <w:t xml:space="preserve"> </w:t>
      </w:r>
      <w:proofErr w:type="spellStart"/>
      <w:r>
        <w:rPr>
          <w:rFonts w:eastAsia="Calibri" w:cs="Calibri"/>
        </w:rPr>
        <w:t>conținutul</w:t>
      </w:r>
      <w:proofErr w:type="spellEnd"/>
      <w:r>
        <w:rPr>
          <w:rFonts w:eastAsia="Calibri" w:cs="Calibri"/>
        </w:rPr>
        <w:t xml:space="preserve"> </w:t>
      </w:r>
      <w:proofErr w:type="spellStart"/>
      <w:r>
        <w:rPr>
          <w:rFonts w:eastAsia="Calibri" w:cs="Calibri"/>
        </w:rPr>
        <w:t>şi</w:t>
      </w:r>
      <w:proofErr w:type="spellEnd"/>
      <w:r>
        <w:rPr>
          <w:rFonts w:eastAsia="Calibri" w:cs="Calibri"/>
        </w:rPr>
        <w:t xml:space="preserve"> </w:t>
      </w:r>
      <w:proofErr w:type="spellStart"/>
      <w:r>
        <w:rPr>
          <w:rFonts w:eastAsia="Calibri" w:cs="Calibri"/>
        </w:rPr>
        <w:t>sensul</w:t>
      </w:r>
      <w:proofErr w:type="spellEnd"/>
      <w:r>
        <w:rPr>
          <w:rFonts w:eastAsia="Calibri" w:cs="Calibri"/>
        </w:rPr>
        <w:t>.</w:t>
      </w:r>
    </w:p>
    <w:p w14:paraId="6215F3FC" w14:textId="2CA68391" w:rsidR="003D383E" w:rsidRDefault="003D383E" w:rsidP="003D383E">
      <w:pPr>
        <w:spacing w:after="120"/>
        <w:rPr>
          <w:rFonts w:eastAsia="Calibri" w:cs="Calibri"/>
          <w:b/>
        </w:rPr>
      </w:pPr>
      <w:proofErr w:type="spellStart"/>
      <w:r>
        <w:rPr>
          <w:rFonts w:eastAsia="Calibri" w:cs="Calibri"/>
        </w:rPr>
        <w:t>Înscrisul</w:t>
      </w:r>
      <w:proofErr w:type="spellEnd"/>
      <w:r>
        <w:rPr>
          <w:rFonts w:eastAsia="Calibri" w:cs="Calibri"/>
        </w:rPr>
        <w:t xml:space="preserve"> a </w:t>
      </w:r>
      <w:proofErr w:type="spellStart"/>
      <w:r>
        <w:rPr>
          <w:rFonts w:eastAsia="Calibri" w:cs="Calibri"/>
        </w:rPr>
        <w:t>cărui</w:t>
      </w:r>
      <w:proofErr w:type="spellEnd"/>
      <w:r>
        <w:rPr>
          <w:rFonts w:eastAsia="Calibri" w:cs="Calibri"/>
        </w:rPr>
        <w:t xml:space="preserve"> </w:t>
      </w:r>
      <w:proofErr w:type="spellStart"/>
      <w:r>
        <w:rPr>
          <w:rFonts w:eastAsia="Calibri" w:cs="Calibri"/>
        </w:rPr>
        <w:t>traducere</w:t>
      </w:r>
      <w:proofErr w:type="spellEnd"/>
      <w:r>
        <w:rPr>
          <w:rFonts w:eastAsia="Calibri" w:cs="Calibri"/>
        </w:rPr>
        <w:t xml:space="preserve"> se </w:t>
      </w:r>
      <w:proofErr w:type="spellStart"/>
      <w:r>
        <w:rPr>
          <w:rFonts w:eastAsia="Calibri" w:cs="Calibri"/>
        </w:rPr>
        <w:t>solicita</w:t>
      </w:r>
      <w:proofErr w:type="spellEnd"/>
      <w:r>
        <w:rPr>
          <w:rFonts w:eastAsia="Calibri" w:cs="Calibri"/>
        </w:rPr>
        <w:t xml:space="preserve"> are un </w:t>
      </w:r>
      <w:proofErr w:type="spellStart"/>
      <w:r>
        <w:rPr>
          <w:rFonts w:eastAsia="Calibri" w:cs="Calibri"/>
        </w:rPr>
        <w:t>număr</w:t>
      </w:r>
      <w:proofErr w:type="spellEnd"/>
      <w:r>
        <w:rPr>
          <w:rFonts w:eastAsia="Calibri" w:cs="Calibri"/>
        </w:rPr>
        <w:t xml:space="preserve"> de 1</w:t>
      </w:r>
      <w:r>
        <w:rPr>
          <w:rFonts w:eastAsia="Calibri" w:cs="Calibri"/>
        </w:rPr>
        <w:t>8</w:t>
      </w:r>
      <w:r>
        <w:rPr>
          <w:rFonts w:eastAsia="Calibri" w:cs="Calibri"/>
        </w:rPr>
        <w:t xml:space="preserve"> </w:t>
      </w:r>
      <w:proofErr w:type="spellStart"/>
      <w:r>
        <w:rPr>
          <w:rFonts w:eastAsia="Calibri" w:cs="Calibri"/>
        </w:rPr>
        <w:t>pagin</w:t>
      </w:r>
      <w:r>
        <w:rPr>
          <w:rFonts w:eastAsia="Calibri" w:cs="Calibri"/>
        </w:rPr>
        <w:t>i</w:t>
      </w:r>
      <w:proofErr w:type="spellEnd"/>
      <w:r>
        <w:rPr>
          <w:rFonts w:eastAsia="Calibri" w:cs="Calibri"/>
        </w:rPr>
        <w:t xml:space="preserve">, </w:t>
      </w:r>
      <w:proofErr w:type="spellStart"/>
      <w:r>
        <w:rPr>
          <w:rFonts w:eastAsia="Calibri" w:cs="Calibri"/>
        </w:rPr>
        <w:t>poartă</w:t>
      </w:r>
      <w:proofErr w:type="spellEnd"/>
      <w:r>
        <w:rPr>
          <w:rFonts w:eastAsia="Calibri" w:cs="Calibri"/>
        </w:rPr>
        <w:t xml:space="preserve"> </w:t>
      </w:r>
      <w:proofErr w:type="spellStart"/>
      <w:r>
        <w:rPr>
          <w:rFonts w:eastAsia="Calibri" w:cs="Calibri"/>
        </w:rPr>
        <w:t>denumirea</w:t>
      </w:r>
      <w:proofErr w:type="spellEnd"/>
      <w:r>
        <w:rPr>
          <w:rFonts w:eastAsia="Calibri" w:cs="Calibri"/>
        </w:rPr>
        <w:t xml:space="preserve"> de </w:t>
      </w:r>
      <w:proofErr w:type="spellStart"/>
      <w:r w:rsidRPr="003D383E">
        <w:rPr>
          <w:rFonts w:eastAsia="Calibri" w:cs="Calibri"/>
          <w:b/>
        </w:rPr>
        <w:t>CAZUL</w:t>
      </w:r>
      <w:proofErr w:type="spellEnd"/>
      <w:r w:rsidRPr="003D383E">
        <w:rPr>
          <w:rFonts w:eastAsia="Calibri" w:cs="Calibri"/>
          <w:b/>
        </w:rPr>
        <w:t xml:space="preserve"> </w:t>
      </w:r>
      <w:proofErr w:type="spellStart"/>
      <w:r w:rsidRPr="003D383E">
        <w:rPr>
          <w:rFonts w:eastAsia="Calibri" w:cs="Calibri"/>
          <w:b/>
        </w:rPr>
        <w:t>WĘGRZYNOWSKI</w:t>
      </w:r>
      <w:proofErr w:type="spellEnd"/>
      <w:r w:rsidRPr="003D383E">
        <w:rPr>
          <w:rFonts w:eastAsia="Calibri" w:cs="Calibri"/>
          <w:b/>
        </w:rPr>
        <w:t xml:space="preserve"> </w:t>
      </w:r>
      <w:proofErr w:type="spellStart"/>
      <w:r w:rsidRPr="003D383E">
        <w:rPr>
          <w:rFonts w:eastAsia="Calibri" w:cs="Calibri"/>
          <w:b/>
        </w:rPr>
        <w:t>ȘI</w:t>
      </w:r>
      <w:proofErr w:type="spellEnd"/>
      <w:r w:rsidRPr="003D383E">
        <w:rPr>
          <w:rFonts w:eastAsia="Calibri" w:cs="Calibri"/>
          <w:b/>
        </w:rPr>
        <w:t xml:space="preserve"> </w:t>
      </w:r>
      <w:proofErr w:type="spellStart"/>
      <w:r w:rsidRPr="003D383E">
        <w:rPr>
          <w:rFonts w:eastAsia="Calibri" w:cs="Calibri"/>
          <w:b/>
        </w:rPr>
        <w:t>SMOLCZEWSKI</w:t>
      </w:r>
      <w:proofErr w:type="spellEnd"/>
      <w:r w:rsidRPr="003D383E">
        <w:rPr>
          <w:rFonts w:eastAsia="Calibri" w:cs="Calibri"/>
          <w:b/>
        </w:rPr>
        <w:t xml:space="preserve"> </w:t>
      </w:r>
      <w:proofErr w:type="spellStart"/>
      <w:r w:rsidRPr="003D383E">
        <w:rPr>
          <w:rFonts w:eastAsia="Calibri" w:cs="Calibri"/>
          <w:b/>
        </w:rPr>
        <w:t>ÎMPOTRIVA</w:t>
      </w:r>
      <w:proofErr w:type="spellEnd"/>
      <w:r w:rsidRPr="003D383E">
        <w:rPr>
          <w:rFonts w:eastAsia="Calibri" w:cs="Calibri"/>
          <w:b/>
        </w:rPr>
        <w:t xml:space="preserve"> </w:t>
      </w:r>
      <w:proofErr w:type="spellStart"/>
      <w:r w:rsidRPr="003D383E">
        <w:rPr>
          <w:rFonts w:eastAsia="Calibri" w:cs="Calibri"/>
          <w:b/>
        </w:rPr>
        <w:t>POLONIEI</w:t>
      </w:r>
      <w:r>
        <w:rPr>
          <w:rFonts w:cs="Calibri"/>
          <w:bCs/>
        </w:rPr>
        <w:t>ş</w:t>
      </w:r>
      <w:r>
        <w:rPr>
          <w:rFonts w:eastAsia="Calibri" w:cs="Calibri"/>
        </w:rPr>
        <w:t>i</w:t>
      </w:r>
      <w:proofErr w:type="spellEnd"/>
      <w:r>
        <w:rPr>
          <w:rFonts w:eastAsia="Calibri" w:cs="Calibri"/>
        </w:rPr>
        <w:t xml:space="preserve"> mi-a </w:t>
      </w:r>
      <w:proofErr w:type="spellStart"/>
      <w:r>
        <w:rPr>
          <w:rFonts w:eastAsia="Calibri" w:cs="Calibri"/>
        </w:rPr>
        <w:t>fost</w:t>
      </w:r>
      <w:proofErr w:type="spellEnd"/>
      <w:r>
        <w:rPr>
          <w:rFonts w:eastAsia="Calibri" w:cs="Calibri"/>
        </w:rPr>
        <w:t xml:space="preserve"> </w:t>
      </w:r>
      <w:proofErr w:type="spellStart"/>
      <w:r>
        <w:rPr>
          <w:rFonts w:eastAsia="Calibri" w:cs="Calibri"/>
        </w:rPr>
        <w:t>prezentat</w:t>
      </w:r>
      <w:proofErr w:type="spellEnd"/>
      <w:r>
        <w:rPr>
          <w:rFonts w:eastAsia="Calibri" w:cs="Calibri"/>
        </w:rPr>
        <w:t xml:space="preserve"> </w:t>
      </w:r>
      <w:proofErr w:type="spellStart"/>
      <w:r>
        <w:rPr>
          <w:rFonts w:eastAsia="Calibri" w:cs="Calibri"/>
        </w:rPr>
        <w:t>mie</w:t>
      </w:r>
      <w:proofErr w:type="spellEnd"/>
      <w:r>
        <w:rPr>
          <w:rFonts w:eastAsia="Calibri" w:cs="Calibri"/>
        </w:rPr>
        <w:t xml:space="preserve"> </w:t>
      </w:r>
      <w:r>
        <w:rPr>
          <w:rFonts w:eastAsia="Calibri" w:cs="Calibri"/>
        </w:rPr>
        <w:t>integral</w:t>
      </w:r>
      <w:r>
        <w:rPr>
          <w:rFonts w:eastAsia="Calibri" w:cs="Calibri"/>
        </w:rPr>
        <w:t xml:space="preserve">, in </w:t>
      </w:r>
      <w:proofErr w:type="spellStart"/>
      <w:r>
        <w:rPr>
          <w:rFonts w:eastAsia="Calibri" w:cs="Calibri"/>
        </w:rPr>
        <w:t>limba</w:t>
      </w:r>
      <w:proofErr w:type="spellEnd"/>
      <w:r>
        <w:rPr>
          <w:rFonts w:eastAsia="Calibri" w:cs="Calibri"/>
        </w:rPr>
        <w:t xml:space="preserve"> </w:t>
      </w:r>
      <w:proofErr w:type="spellStart"/>
      <w:r>
        <w:rPr>
          <w:rFonts w:eastAsia="Calibri" w:cs="Calibri"/>
        </w:rPr>
        <w:t>engleză</w:t>
      </w:r>
      <w:proofErr w:type="spellEnd"/>
      <w:r>
        <w:rPr>
          <w:rFonts w:eastAsia="Calibri" w:cs="Calibri"/>
        </w:rPr>
        <w:t>.</w:t>
      </w:r>
    </w:p>
    <w:p w14:paraId="7F3DE62E" w14:textId="13E60376" w:rsidR="003D383E" w:rsidRDefault="003D383E" w:rsidP="003D383E">
      <w:pPr>
        <w:spacing w:after="120"/>
        <w:rPr>
          <w:rFonts w:eastAsia="Calibri" w:cs="Calibri"/>
          <w:b/>
        </w:rPr>
      </w:pPr>
      <w:proofErr w:type="spellStart"/>
      <w:r>
        <w:rPr>
          <w:rFonts w:eastAsia="Calibri" w:cs="Calibri"/>
        </w:rPr>
        <w:t>Traducerea</w:t>
      </w:r>
      <w:proofErr w:type="spellEnd"/>
      <w:r>
        <w:rPr>
          <w:rFonts w:eastAsia="Calibri" w:cs="Calibri"/>
        </w:rPr>
        <w:t xml:space="preserve"> are un </w:t>
      </w:r>
      <w:proofErr w:type="spellStart"/>
      <w:r>
        <w:rPr>
          <w:rFonts w:eastAsia="Calibri" w:cs="Calibri"/>
        </w:rPr>
        <w:t>număr</w:t>
      </w:r>
      <w:proofErr w:type="spellEnd"/>
      <w:r>
        <w:rPr>
          <w:rFonts w:eastAsia="Calibri" w:cs="Calibri"/>
        </w:rPr>
        <w:t xml:space="preserve"> de </w:t>
      </w:r>
      <w:r>
        <w:rPr>
          <w:rFonts w:eastAsia="Calibri" w:cs="Calibri"/>
        </w:rPr>
        <w:t>19</w:t>
      </w:r>
      <w:r>
        <w:rPr>
          <w:rFonts w:eastAsia="Calibri" w:cs="Calibri"/>
        </w:rPr>
        <w:t xml:space="preserve"> </w:t>
      </w:r>
      <w:proofErr w:type="spellStart"/>
      <w:r>
        <w:rPr>
          <w:rFonts w:eastAsia="Calibri" w:cs="Calibri"/>
        </w:rPr>
        <w:t>pagini</w:t>
      </w:r>
      <w:proofErr w:type="spellEnd"/>
      <w:r>
        <w:rPr>
          <w:rFonts w:eastAsia="Calibri" w:cs="Calibri"/>
        </w:rPr>
        <w:t xml:space="preserve"> </w:t>
      </w:r>
      <w:proofErr w:type="spellStart"/>
      <w:r>
        <w:rPr>
          <w:rFonts w:eastAsia="Calibri" w:cs="Calibri"/>
        </w:rPr>
        <w:t>fizice</w:t>
      </w:r>
      <w:proofErr w:type="spellEnd"/>
      <w:r>
        <w:rPr>
          <w:rFonts w:eastAsia="Calibri" w:cs="Calibri"/>
        </w:rPr>
        <w:t xml:space="preserve">, </w:t>
      </w:r>
      <w:proofErr w:type="spellStart"/>
      <w:r>
        <w:rPr>
          <w:rFonts w:eastAsia="Calibri" w:cs="Calibri"/>
        </w:rPr>
        <w:t>incluzând</w:t>
      </w:r>
      <w:proofErr w:type="spellEnd"/>
      <w:r>
        <w:rPr>
          <w:rFonts w:eastAsia="Calibri" w:cs="Calibri"/>
        </w:rPr>
        <w:t xml:space="preserve"> </w:t>
      </w:r>
      <w:proofErr w:type="spellStart"/>
      <w:r>
        <w:rPr>
          <w:rFonts w:eastAsia="Calibri" w:cs="Calibri"/>
        </w:rPr>
        <w:t>pagina</w:t>
      </w:r>
      <w:proofErr w:type="spellEnd"/>
      <w:r>
        <w:rPr>
          <w:rFonts w:eastAsia="Calibri" w:cs="Calibri"/>
        </w:rPr>
        <w:t xml:space="preserve"> de </w:t>
      </w:r>
      <w:proofErr w:type="spellStart"/>
      <w:r>
        <w:rPr>
          <w:rFonts w:eastAsia="Calibri" w:cs="Calibri"/>
        </w:rPr>
        <w:t>încheiere</w:t>
      </w:r>
      <w:proofErr w:type="spellEnd"/>
      <w:r>
        <w:rPr>
          <w:rFonts w:eastAsia="Calibri" w:cs="Calibri"/>
        </w:rPr>
        <w:t xml:space="preserve"> de </w:t>
      </w:r>
      <w:proofErr w:type="spellStart"/>
      <w:r>
        <w:rPr>
          <w:rFonts w:eastAsia="Calibri" w:cs="Calibri"/>
        </w:rPr>
        <w:t>legalizare</w:t>
      </w:r>
      <w:proofErr w:type="spellEnd"/>
      <w:r>
        <w:rPr>
          <w:rFonts w:eastAsia="Calibri" w:cs="Calibri"/>
        </w:rPr>
        <w:t>. </w:t>
      </w:r>
    </w:p>
    <w:p w14:paraId="1A80E322" w14:textId="70248F50" w:rsidR="003D383E" w:rsidRDefault="003D383E" w:rsidP="003D383E">
      <w:pPr>
        <w:jc w:val="right"/>
        <w:rPr>
          <w:rFonts w:eastAsia="Calibri" w:cs="Calibri"/>
        </w:rPr>
      </w:pPr>
    </w:p>
    <w:p w14:paraId="459AEACC" w14:textId="77777777" w:rsidR="0087182F" w:rsidRDefault="0087182F" w:rsidP="003D383E">
      <w:pPr>
        <w:jc w:val="right"/>
        <w:rPr>
          <w:rFonts w:eastAsia="Calibri"/>
          <w:b/>
          <w:i/>
        </w:rPr>
      </w:pPr>
    </w:p>
    <w:p w14:paraId="5D964E24" w14:textId="77777777" w:rsidR="003D383E" w:rsidRDefault="003D383E" w:rsidP="003D383E">
      <w:pPr>
        <w:jc w:val="right"/>
        <w:rPr>
          <w:rFonts w:eastAsia="Calibri"/>
          <w:b/>
          <w:i/>
        </w:rPr>
      </w:pPr>
      <w:r>
        <w:rPr>
          <w:rFonts w:eastAsia="Calibri"/>
          <w:b/>
          <w:i/>
        </w:rPr>
        <w:t xml:space="preserve">INTERPRET SI </w:t>
      </w:r>
      <w:proofErr w:type="spellStart"/>
      <w:r>
        <w:rPr>
          <w:rFonts w:eastAsia="Calibri"/>
          <w:b/>
          <w:i/>
        </w:rPr>
        <w:t>TRADUCATOR</w:t>
      </w:r>
      <w:proofErr w:type="spellEnd"/>
      <w:r>
        <w:rPr>
          <w:rFonts w:eastAsia="Calibri"/>
          <w:b/>
          <w:i/>
        </w:rPr>
        <w:t xml:space="preserve"> </w:t>
      </w:r>
      <w:proofErr w:type="spellStart"/>
      <w:r>
        <w:rPr>
          <w:rFonts w:eastAsia="Calibri"/>
          <w:b/>
          <w:i/>
        </w:rPr>
        <w:t>AUTORIZAT</w:t>
      </w:r>
      <w:proofErr w:type="spellEnd"/>
      <w:r>
        <w:rPr>
          <w:rFonts w:eastAsia="Calibri"/>
          <w:b/>
          <w:i/>
        </w:rPr>
        <w:t xml:space="preserve"> </w:t>
      </w:r>
    </w:p>
    <w:p w14:paraId="6A409D28" w14:textId="77777777" w:rsidR="003D383E" w:rsidRDefault="003D383E" w:rsidP="003D383E">
      <w:pPr>
        <w:jc w:val="right"/>
        <w:rPr>
          <w:rFonts w:eastAsia="Calibri"/>
          <w:b/>
          <w:i/>
        </w:rPr>
      </w:pPr>
      <w:proofErr w:type="spellStart"/>
      <w:r>
        <w:rPr>
          <w:rFonts w:eastAsia="Calibri"/>
          <w:b/>
          <w:i/>
        </w:rPr>
        <w:t>MARGA</w:t>
      </w:r>
      <w:proofErr w:type="spellEnd"/>
      <w:r>
        <w:rPr>
          <w:rFonts w:eastAsia="Calibri"/>
          <w:b/>
          <w:i/>
        </w:rPr>
        <w:t xml:space="preserve"> ROXANA </w:t>
      </w:r>
      <w:proofErr w:type="spellStart"/>
      <w:r>
        <w:rPr>
          <w:rFonts w:eastAsia="Calibri"/>
          <w:b/>
          <w:i/>
        </w:rPr>
        <w:t>SAVU</w:t>
      </w:r>
      <w:proofErr w:type="spellEnd"/>
    </w:p>
    <w:p w14:paraId="4BD9FED1" w14:textId="77777777" w:rsidR="003D383E" w:rsidRDefault="003D383E" w:rsidP="003D383E">
      <w:pPr>
        <w:spacing w:after="120"/>
        <w:rPr>
          <w:rFonts w:eastAsia="Calibri"/>
          <w:highlight w:val="yellow"/>
        </w:rPr>
      </w:pPr>
    </w:p>
    <w:p w14:paraId="0511785D" w14:textId="77777777" w:rsidR="003D383E" w:rsidRDefault="003D383E" w:rsidP="003D383E">
      <w:pPr>
        <w:spacing w:after="120"/>
        <w:rPr>
          <w:rFonts w:eastAsia="Calibri"/>
        </w:rPr>
      </w:pPr>
      <w:proofErr w:type="spellStart"/>
      <w:r>
        <w:rPr>
          <w:rFonts w:eastAsia="Calibri"/>
        </w:rPr>
        <w:t>ROMÂNIA</w:t>
      </w:r>
      <w:proofErr w:type="spellEnd"/>
    </w:p>
    <w:p w14:paraId="0A43327F" w14:textId="77777777" w:rsidR="003D383E" w:rsidRDefault="003D383E" w:rsidP="003D383E">
      <w:pPr>
        <w:spacing w:after="120"/>
        <w:rPr>
          <w:rFonts w:eastAsia="Calibri"/>
        </w:rPr>
      </w:pPr>
      <w:proofErr w:type="spellStart"/>
      <w:r>
        <w:rPr>
          <w:rFonts w:eastAsia="Calibri"/>
        </w:rPr>
        <w:t>Uniunea</w:t>
      </w:r>
      <w:proofErr w:type="spellEnd"/>
      <w:r>
        <w:rPr>
          <w:rFonts w:eastAsia="Calibri"/>
        </w:rPr>
        <w:t xml:space="preserve"> </w:t>
      </w:r>
      <w:proofErr w:type="spellStart"/>
      <w:r>
        <w:rPr>
          <w:rFonts w:eastAsia="Calibri"/>
        </w:rPr>
        <w:t>Naţională</w:t>
      </w:r>
      <w:proofErr w:type="spellEnd"/>
      <w:r>
        <w:rPr>
          <w:rFonts w:eastAsia="Calibri"/>
        </w:rPr>
        <w:t xml:space="preserve"> a </w:t>
      </w:r>
      <w:proofErr w:type="spellStart"/>
      <w:r>
        <w:rPr>
          <w:rFonts w:eastAsia="Calibri"/>
        </w:rPr>
        <w:t>Notarilor</w:t>
      </w:r>
      <w:proofErr w:type="spellEnd"/>
      <w:r>
        <w:rPr>
          <w:rFonts w:eastAsia="Calibri"/>
        </w:rPr>
        <w:t xml:space="preserve"> </w:t>
      </w:r>
      <w:proofErr w:type="spellStart"/>
      <w:r>
        <w:rPr>
          <w:rFonts w:eastAsia="Calibri"/>
        </w:rPr>
        <w:t>Publici</w:t>
      </w:r>
      <w:proofErr w:type="spellEnd"/>
    </w:p>
    <w:p w14:paraId="4EF4FA24" w14:textId="77777777" w:rsidR="003D383E" w:rsidRDefault="003D383E" w:rsidP="003D383E">
      <w:pPr>
        <w:spacing w:after="120"/>
        <w:rPr>
          <w:rFonts w:eastAsia="Calibri"/>
        </w:rPr>
      </w:pPr>
      <w:proofErr w:type="spellStart"/>
      <w:r>
        <w:rPr>
          <w:rFonts w:eastAsia="Calibri"/>
        </w:rPr>
        <w:t>Societate</w:t>
      </w:r>
      <w:proofErr w:type="spellEnd"/>
      <w:r>
        <w:rPr>
          <w:rFonts w:eastAsia="Calibri"/>
        </w:rPr>
        <w:t xml:space="preserve"> </w:t>
      </w:r>
      <w:proofErr w:type="spellStart"/>
      <w:r>
        <w:rPr>
          <w:rFonts w:eastAsia="Calibri"/>
        </w:rPr>
        <w:t>profesionala</w:t>
      </w:r>
      <w:proofErr w:type="spellEnd"/>
      <w:r>
        <w:rPr>
          <w:rFonts w:eastAsia="Calibri"/>
        </w:rPr>
        <w:t xml:space="preserve"> </w:t>
      </w:r>
      <w:proofErr w:type="spellStart"/>
      <w:r>
        <w:rPr>
          <w:rFonts w:eastAsia="Calibri"/>
        </w:rPr>
        <w:t>notariala</w:t>
      </w:r>
      <w:proofErr w:type="spellEnd"/>
      <w:r>
        <w:rPr>
          <w:rFonts w:eastAsia="Calibri"/>
        </w:rPr>
        <w:t xml:space="preserve"> „</w:t>
      </w:r>
      <w:r>
        <w:rPr>
          <w:rFonts w:eastAsia="Calibri"/>
          <w:b/>
          <w:i/>
        </w:rPr>
        <w:t xml:space="preserve">Bucur </w:t>
      </w:r>
      <w:proofErr w:type="spellStart"/>
      <w:r>
        <w:rPr>
          <w:rFonts w:eastAsia="Calibri"/>
          <w:b/>
          <w:i/>
        </w:rPr>
        <w:t>si</w:t>
      </w:r>
      <w:proofErr w:type="spellEnd"/>
      <w:r>
        <w:rPr>
          <w:rFonts w:eastAsia="Calibri"/>
          <w:b/>
          <w:i/>
        </w:rPr>
        <w:t xml:space="preserve"> </w:t>
      </w:r>
      <w:proofErr w:type="spellStart"/>
      <w:r>
        <w:rPr>
          <w:rFonts w:eastAsia="Calibri"/>
          <w:b/>
          <w:i/>
        </w:rPr>
        <w:t>asociații</w:t>
      </w:r>
      <w:proofErr w:type="spellEnd"/>
      <w:r>
        <w:rPr>
          <w:rFonts w:eastAsia="Calibri"/>
        </w:rPr>
        <w:t>”</w:t>
      </w:r>
    </w:p>
    <w:p w14:paraId="272D2646" w14:textId="77777777" w:rsidR="003D383E" w:rsidRDefault="003D383E" w:rsidP="003D383E">
      <w:pPr>
        <w:spacing w:after="120"/>
        <w:rPr>
          <w:rFonts w:eastAsia="Calibri"/>
        </w:rPr>
      </w:pPr>
      <w:proofErr w:type="spellStart"/>
      <w:r>
        <w:rPr>
          <w:rFonts w:eastAsia="Calibri"/>
        </w:rPr>
        <w:t>Licenţa</w:t>
      </w:r>
      <w:proofErr w:type="spellEnd"/>
      <w:r>
        <w:rPr>
          <w:rFonts w:eastAsia="Calibri"/>
        </w:rPr>
        <w:t xml:space="preserve"> de </w:t>
      </w:r>
      <w:proofErr w:type="spellStart"/>
      <w:r>
        <w:rPr>
          <w:rFonts w:eastAsia="Calibri"/>
        </w:rPr>
        <w:t>funcţionare</w:t>
      </w:r>
      <w:proofErr w:type="spellEnd"/>
      <w:r>
        <w:rPr>
          <w:rFonts w:eastAsia="Calibri"/>
        </w:rPr>
        <w:t xml:space="preserve"> nr.</w:t>
      </w:r>
      <w:r>
        <w:t xml:space="preserve"> </w:t>
      </w:r>
    </w:p>
    <w:p w14:paraId="0A221430" w14:textId="77777777" w:rsidR="003D383E" w:rsidRDefault="003D383E" w:rsidP="003D383E">
      <w:pPr>
        <w:spacing w:after="120"/>
        <w:rPr>
          <w:rFonts w:eastAsia="Calibri"/>
        </w:rPr>
      </w:pPr>
      <w:proofErr w:type="spellStart"/>
      <w:r>
        <w:rPr>
          <w:rFonts w:eastAsia="Calibri"/>
        </w:rPr>
        <w:t>Sediul</w:t>
      </w:r>
      <w:proofErr w:type="spellEnd"/>
      <w:r>
        <w:rPr>
          <w:rFonts w:eastAsia="Calibri"/>
        </w:rPr>
        <w:t>: B-</w:t>
      </w:r>
      <w:proofErr w:type="spellStart"/>
      <w:r>
        <w:rPr>
          <w:rFonts w:eastAsia="Calibri"/>
        </w:rPr>
        <w:t>dul</w:t>
      </w:r>
      <w:proofErr w:type="spellEnd"/>
      <w:r>
        <w:rPr>
          <w:rFonts w:eastAsia="Calibri"/>
        </w:rPr>
        <w:t xml:space="preserve"> </w:t>
      </w:r>
      <w:proofErr w:type="spellStart"/>
      <w:r>
        <w:rPr>
          <w:rFonts w:eastAsia="Calibri"/>
        </w:rPr>
        <w:t>Chişinău</w:t>
      </w:r>
      <w:proofErr w:type="spellEnd"/>
      <w:r>
        <w:rPr>
          <w:rFonts w:eastAsia="Calibri"/>
        </w:rPr>
        <w:t xml:space="preserve"> nr.15, </w:t>
      </w:r>
      <w:proofErr w:type="gramStart"/>
      <w:r>
        <w:rPr>
          <w:rFonts w:eastAsia="Calibri"/>
        </w:rPr>
        <w:t>bl.A</w:t>
      </w:r>
      <w:proofErr w:type="gramEnd"/>
      <w:r>
        <w:rPr>
          <w:rFonts w:eastAsia="Calibri"/>
        </w:rPr>
        <w:t xml:space="preserve">4, sc.2, </w:t>
      </w:r>
      <w:proofErr w:type="spellStart"/>
      <w:r>
        <w:rPr>
          <w:rFonts w:eastAsia="Calibri"/>
        </w:rPr>
        <w:t>parter</w:t>
      </w:r>
      <w:proofErr w:type="spellEnd"/>
      <w:r>
        <w:rPr>
          <w:rFonts w:eastAsia="Calibri"/>
        </w:rPr>
        <w:t xml:space="preserve">, ap. 46, sector 2, </w:t>
      </w:r>
      <w:proofErr w:type="spellStart"/>
      <w:r>
        <w:rPr>
          <w:rFonts w:eastAsia="Calibri"/>
        </w:rPr>
        <w:t>Bucureşti</w:t>
      </w:r>
      <w:proofErr w:type="spellEnd"/>
    </w:p>
    <w:p w14:paraId="586D3739" w14:textId="77777777" w:rsidR="003D383E" w:rsidRDefault="003D383E" w:rsidP="003D383E">
      <w:pPr>
        <w:rPr>
          <w:rFonts w:eastAsia="Calibri"/>
        </w:rPr>
      </w:pPr>
    </w:p>
    <w:p w14:paraId="70EC71FA" w14:textId="77777777" w:rsidR="003D383E" w:rsidRDefault="003D383E" w:rsidP="003D383E">
      <w:pPr>
        <w:jc w:val="center"/>
        <w:rPr>
          <w:rFonts w:eastAsia="Calibri"/>
        </w:rPr>
      </w:pPr>
      <w:proofErr w:type="spellStart"/>
      <w:r>
        <w:rPr>
          <w:rFonts w:eastAsia="Calibri"/>
        </w:rPr>
        <w:t>ÎNCHEIERE</w:t>
      </w:r>
      <w:proofErr w:type="spellEnd"/>
      <w:r>
        <w:rPr>
          <w:rFonts w:eastAsia="Calibri"/>
        </w:rPr>
        <w:t xml:space="preserve"> DE </w:t>
      </w:r>
      <w:proofErr w:type="spellStart"/>
      <w:r>
        <w:rPr>
          <w:rFonts w:eastAsia="Calibri"/>
        </w:rPr>
        <w:t>LEGALIZARE</w:t>
      </w:r>
      <w:proofErr w:type="spellEnd"/>
      <w:r>
        <w:rPr>
          <w:rFonts w:eastAsia="Calibri"/>
        </w:rPr>
        <w:t xml:space="preserve"> A </w:t>
      </w:r>
      <w:proofErr w:type="spellStart"/>
      <w:r>
        <w:rPr>
          <w:rFonts w:eastAsia="Calibri"/>
        </w:rPr>
        <w:t>SEMNĂTURII</w:t>
      </w:r>
      <w:proofErr w:type="spellEnd"/>
      <w:r>
        <w:rPr>
          <w:rFonts w:eastAsia="Calibri"/>
        </w:rPr>
        <w:t xml:space="preserve"> </w:t>
      </w:r>
      <w:proofErr w:type="spellStart"/>
      <w:r>
        <w:rPr>
          <w:rFonts w:eastAsia="Calibri"/>
        </w:rPr>
        <w:t>TRADUCĂTORULUI</w:t>
      </w:r>
      <w:proofErr w:type="spellEnd"/>
      <w:r>
        <w:rPr>
          <w:rFonts w:eastAsia="Calibri"/>
        </w:rPr>
        <w:t xml:space="preserve"> nr………………………………………</w:t>
      </w:r>
    </w:p>
    <w:p w14:paraId="39DD6FB8" w14:textId="2A30CB08" w:rsidR="003D383E" w:rsidRDefault="003D383E" w:rsidP="003D383E">
      <w:pPr>
        <w:jc w:val="center"/>
        <w:rPr>
          <w:rFonts w:eastAsia="Calibri"/>
        </w:rPr>
      </w:pPr>
      <w:proofErr w:type="spellStart"/>
      <w:r>
        <w:rPr>
          <w:rFonts w:eastAsia="Calibri"/>
        </w:rPr>
        <w:t>Anul</w:t>
      </w:r>
      <w:proofErr w:type="spellEnd"/>
      <w:r>
        <w:rPr>
          <w:rFonts w:eastAsia="Calibri"/>
        </w:rPr>
        <w:t xml:space="preserve"> </w:t>
      </w:r>
      <w:r>
        <w:rPr>
          <w:rFonts w:eastAsia="Calibri"/>
          <w:b/>
        </w:rPr>
        <w:t xml:space="preserve">2021 </w:t>
      </w:r>
      <w:proofErr w:type="spellStart"/>
      <w:r>
        <w:rPr>
          <w:rFonts w:eastAsia="Calibri"/>
        </w:rPr>
        <w:t>luna</w:t>
      </w:r>
      <w:proofErr w:type="spellEnd"/>
      <w:r>
        <w:rPr>
          <w:rFonts w:eastAsia="Calibri"/>
        </w:rPr>
        <w:t xml:space="preserve"> </w:t>
      </w:r>
      <w:proofErr w:type="spellStart"/>
      <w:r>
        <w:rPr>
          <w:rFonts w:eastAsia="Calibri"/>
          <w:b/>
        </w:rPr>
        <w:t>martie</w:t>
      </w:r>
      <w:proofErr w:type="spellEnd"/>
      <w:r>
        <w:rPr>
          <w:rFonts w:eastAsia="Calibri"/>
          <w:b/>
        </w:rPr>
        <w:t xml:space="preserve"> </w:t>
      </w:r>
      <w:proofErr w:type="spellStart"/>
      <w:r>
        <w:rPr>
          <w:rFonts w:eastAsia="Calibri"/>
        </w:rPr>
        <w:t>ziua</w:t>
      </w:r>
      <w:proofErr w:type="spellEnd"/>
      <w:r>
        <w:rPr>
          <w:rFonts w:eastAsia="Calibri"/>
        </w:rPr>
        <w:t xml:space="preserve"> </w:t>
      </w:r>
      <w:r>
        <w:rPr>
          <w:rFonts w:eastAsia="Calibri"/>
          <w:b/>
          <w:bCs/>
        </w:rPr>
        <w:t>1</w:t>
      </w:r>
      <w:r w:rsidR="0087182F">
        <w:rPr>
          <w:rFonts w:eastAsia="Calibri"/>
          <w:b/>
          <w:bCs/>
        </w:rPr>
        <w:t>9</w:t>
      </w:r>
    </w:p>
    <w:p w14:paraId="7F13AEE5" w14:textId="77777777" w:rsidR="003D383E" w:rsidRDefault="003D383E" w:rsidP="003D383E">
      <w:pPr>
        <w:jc w:val="both"/>
      </w:pPr>
      <w:proofErr w:type="spellStart"/>
      <w:r>
        <w:rPr>
          <w:b/>
          <w:i/>
          <w:u w:val="single"/>
        </w:rPr>
        <w:t>ANGHELACHE</w:t>
      </w:r>
      <w:proofErr w:type="spellEnd"/>
      <w:r>
        <w:rPr>
          <w:b/>
          <w:i/>
          <w:u w:val="single"/>
        </w:rPr>
        <w:t xml:space="preserve"> </w:t>
      </w:r>
      <w:proofErr w:type="spellStart"/>
      <w:r>
        <w:rPr>
          <w:b/>
          <w:i/>
          <w:u w:val="single"/>
        </w:rPr>
        <w:t>Geanina</w:t>
      </w:r>
      <w:proofErr w:type="spellEnd"/>
      <w:r>
        <w:rPr>
          <w:b/>
          <w:i/>
          <w:u w:val="single"/>
        </w:rPr>
        <w:t xml:space="preserve"> </w:t>
      </w:r>
      <w:proofErr w:type="spellStart"/>
      <w:r>
        <w:rPr>
          <w:b/>
          <w:i/>
          <w:u w:val="single"/>
        </w:rPr>
        <w:t>Mădălina</w:t>
      </w:r>
      <w:proofErr w:type="spellEnd"/>
      <w:r>
        <w:rPr>
          <w:rFonts w:eastAsia="Calibri"/>
        </w:rPr>
        <w:t xml:space="preserve">, </w:t>
      </w:r>
      <w:proofErr w:type="spellStart"/>
      <w:r>
        <w:rPr>
          <w:rFonts w:eastAsia="Calibri"/>
        </w:rPr>
        <w:t>notar</w:t>
      </w:r>
      <w:proofErr w:type="spellEnd"/>
      <w:r>
        <w:rPr>
          <w:rFonts w:eastAsia="Calibri"/>
        </w:rPr>
        <w:t xml:space="preserve"> public, </w:t>
      </w:r>
      <w:proofErr w:type="spellStart"/>
      <w:r>
        <w:rPr>
          <w:rFonts w:eastAsia="Calibri"/>
        </w:rPr>
        <w:t>în</w:t>
      </w:r>
      <w:proofErr w:type="spellEnd"/>
      <w:r>
        <w:rPr>
          <w:rFonts w:eastAsia="Calibri"/>
        </w:rPr>
        <w:t xml:space="preserve"> </w:t>
      </w:r>
      <w:proofErr w:type="spellStart"/>
      <w:r>
        <w:rPr>
          <w:rFonts w:eastAsia="Calibri"/>
        </w:rPr>
        <w:t>temeiul</w:t>
      </w:r>
      <w:proofErr w:type="spellEnd"/>
      <w:r>
        <w:rPr>
          <w:rFonts w:eastAsia="Calibri"/>
        </w:rPr>
        <w:t xml:space="preserve"> art. 12 lit. j) din </w:t>
      </w:r>
      <w:proofErr w:type="spellStart"/>
      <w:r>
        <w:rPr>
          <w:rFonts w:eastAsia="Calibri"/>
        </w:rPr>
        <w:t>Legea</w:t>
      </w:r>
      <w:proofErr w:type="spellEnd"/>
      <w:r>
        <w:rPr>
          <w:rFonts w:eastAsia="Calibri"/>
        </w:rPr>
        <w:t xml:space="preserve"> </w:t>
      </w:r>
      <w:proofErr w:type="spellStart"/>
      <w:r>
        <w:rPr>
          <w:rFonts w:eastAsia="Calibri"/>
        </w:rPr>
        <w:t>notarilor</w:t>
      </w:r>
      <w:proofErr w:type="spellEnd"/>
      <w:r>
        <w:rPr>
          <w:rFonts w:eastAsia="Calibri"/>
        </w:rPr>
        <w:t xml:space="preserve"> </w:t>
      </w:r>
      <w:proofErr w:type="spellStart"/>
      <w:r>
        <w:rPr>
          <w:rFonts w:eastAsia="Calibri"/>
        </w:rPr>
        <w:t>publici</w:t>
      </w:r>
      <w:proofErr w:type="spellEnd"/>
      <w:r>
        <w:rPr>
          <w:rFonts w:eastAsia="Calibri"/>
        </w:rPr>
        <w:t xml:space="preserve"> </w:t>
      </w:r>
      <w:proofErr w:type="spellStart"/>
      <w:r>
        <w:rPr>
          <w:rFonts w:eastAsia="Calibri"/>
        </w:rPr>
        <w:t>şi</w:t>
      </w:r>
      <w:proofErr w:type="spellEnd"/>
      <w:r>
        <w:rPr>
          <w:rFonts w:eastAsia="Calibri"/>
        </w:rPr>
        <w:t xml:space="preserve"> </w:t>
      </w:r>
      <w:proofErr w:type="gramStart"/>
      <w:r>
        <w:rPr>
          <w:rFonts w:eastAsia="Calibri"/>
        </w:rPr>
        <w:t>a</w:t>
      </w:r>
      <w:proofErr w:type="gramEnd"/>
      <w:r>
        <w:rPr>
          <w:rFonts w:eastAsia="Calibri"/>
        </w:rPr>
        <w:t xml:space="preserve"> </w:t>
      </w:r>
      <w:proofErr w:type="spellStart"/>
      <w:r>
        <w:rPr>
          <w:rFonts w:eastAsia="Calibri"/>
        </w:rPr>
        <w:t>activităţii</w:t>
      </w:r>
      <w:proofErr w:type="spellEnd"/>
      <w:r>
        <w:rPr>
          <w:rFonts w:eastAsia="Calibri"/>
        </w:rPr>
        <w:t xml:space="preserve"> </w:t>
      </w:r>
      <w:proofErr w:type="spellStart"/>
      <w:r>
        <w:rPr>
          <w:rFonts w:eastAsia="Calibri"/>
        </w:rPr>
        <w:t>notariale</w:t>
      </w:r>
      <w:proofErr w:type="spellEnd"/>
      <w:r>
        <w:rPr>
          <w:rFonts w:eastAsia="Calibri"/>
        </w:rPr>
        <w:t xml:space="preserve"> nr. 36/1995 </w:t>
      </w:r>
      <w:proofErr w:type="spellStart"/>
      <w:r>
        <w:rPr>
          <w:rFonts w:eastAsia="Calibri"/>
        </w:rPr>
        <w:t>republicată</w:t>
      </w:r>
      <w:proofErr w:type="spellEnd"/>
      <w:r>
        <w:rPr>
          <w:rFonts w:eastAsia="Calibri"/>
        </w:rPr>
        <w:t xml:space="preserve">, cu </w:t>
      </w:r>
      <w:proofErr w:type="spellStart"/>
      <w:r>
        <w:rPr>
          <w:rFonts w:eastAsia="Calibri"/>
        </w:rPr>
        <w:t>modificările</w:t>
      </w:r>
      <w:proofErr w:type="spellEnd"/>
      <w:r>
        <w:rPr>
          <w:rFonts w:eastAsia="Calibri"/>
        </w:rPr>
        <w:t xml:space="preserve"> </w:t>
      </w:r>
      <w:proofErr w:type="spellStart"/>
      <w:r>
        <w:rPr>
          <w:rFonts w:eastAsia="Calibri"/>
        </w:rPr>
        <w:t>ulterioare</w:t>
      </w:r>
      <w:proofErr w:type="spellEnd"/>
      <w:r>
        <w:rPr>
          <w:rFonts w:eastAsia="Calibri"/>
        </w:rPr>
        <w:t xml:space="preserve">, </w:t>
      </w:r>
      <w:proofErr w:type="spellStart"/>
      <w:r>
        <w:rPr>
          <w:rFonts w:eastAsia="Calibri"/>
        </w:rPr>
        <w:t>legalizez</w:t>
      </w:r>
      <w:proofErr w:type="spellEnd"/>
      <w:r>
        <w:rPr>
          <w:rFonts w:eastAsia="Calibri"/>
        </w:rPr>
        <w:t xml:space="preserve"> </w:t>
      </w:r>
      <w:proofErr w:type="spellStart"/>
      <w:r>
        <w:rPr>
          <w:rFonts w:eastAsia="Calibri"/>
        </w:rPr>
        <w:t>semnătura</w:t>
      </w:r>
      <w:proofErr w:type="spellEnd"/>
      <w:r>
        <w:rPr>
          <w:rFonts w:eastAsia="Calibri"/>
        </w:rPr>
        <w:t xml:space="preserve"> de </w:t>
      </w:r>
      <w:proofErr w:type="spellStart"/>
      <w:r>
        <w:rPr>
          <w:rFonts w:eastAsia="Calibri"/>
        </w:rPr>
        <w:t>mai</w:t>
      </w:r>
      <w:proofErr w:type="spellEnd"/>
      <w:r>
        <w:rPr>
          <w:rFonts w:eastAsia="Calibri"/>
        </w:rPr>
        <w:t xml:space="preserve"> sus, </w:t>
      </w:r>
      <w:proofErr w:type="spellStart"/>
      <w:r>
        <w:rPr>
          <w:rFonts w:eastAsia="Calibri"/>
        </w:rPr>
        <w:t>aparţinând</w:t>
      </w:r>
      <w:proofErr w:type="spellEnd"/>
      <w:r>
        <w:rPr>
          <w:rFonts w:eastAsia="Calibri"/>
        </w:rPr>
        <w:t xml:space="preserve"> </w:t>
      </w:r>
      <w:proofErr w:type="spellStart"/>
      <w:r>
        <w:rPr>
          <w:rFonts w:eastAsia="Calibri"/>
        </w:rPr>
        <w:t>lui</w:t>
      </w:r>
      <w:proofErr w:type="spellEnd"/>
      <w:r>
        <w:rPr>
          <w:rFonts w:eastAsia="Calibri"/>
        </w:rPr>
        <w:t xml:space="preserve"> </w:t>
      </w:r>
      <w:proofErr w:type="spellStart"/>
      <w:r>
        <w:rPr>
          <w:rFonts w:eastAsia="Calibri"/>
          <w:b/>
        </w:rPr>
        <w:t>SAVU</w:t>
      </w:r>
      <w:proofErr w:type="spellEnd"/>
      <w:r>
        <w:rPr>
          <w:rFonts w:eastAsia="Calibri"/>
          <w:b/>
        </w:rPr>
        <w:t xml:space="preserve"> </w:t>
      </w:r>
      <w:proofErr w:type="spellStart"/>
      <w:r>
        <w:rPr>
          <w:rFonts w:eastAsia="Calibri"/>
          <w:b/>
        </w:rPr>
        <w:t>Marga</w:t>
      </w:r>
      <w:proofErr w:type="spellEnd"/>
      <w:r>
        <w:rPr>
          <w:rFonts w:eastAsia="Calibri"/>
          <w:b/>
        </w:rPr>
        <w:t xml:space="preserve"> Roxana</w:t>
      </w:r>
      <w:r>
        <w:rPr>
          <w:rFonts w:eastAsia="Calibri"/>
        </w:rPr>
        <w:t xml:space="preserve">, interpret </w:t>
      </w:r>
      <w:proofErr w:type="spellStart"/>
      <w:r>
        <w:rPr>
          <w:rFonts w:eastAsia="Calibri"/>
        </w:rPr>
        <w:t>şi</w:t>
      </w:r>
      <w:proofErr w:type="spellEnd"/>
      <w:r>
        <w:rPr>
          <w:rFonts w:eastAsia="Calibri"/>
        </w:rPr>
        <w:t xml:space="preserve"> </w:t>
      </w:r>
      <w:proofErr w:type="spellStart"/>
      <w:r>
        <w:rPr>
          <w:rFonts w:eastAsia="Calibri"/>
        </w:rPr>
        <w:t>traducător</w:t>
      </w:r>
      <w:proofErr w:type="spellEnd"/>
      <w:r>
        <w:rPr>
          <w:rFonts w:eastAsia="Calibri"/>
        </w:rPr>
        <w:t xml:space="preserve"> </w:t>
      </w:r>
      <w:proofErr w:type="spellStart"/>
      <w:r>
        <w:rPr>
          <w:rFonts w:eastAsia="Calibri"/>
        </w:rPr>
        <w:t>autorizat</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baza</w:t>
      </w:r>
      <w:proofErr w:type="spellEnd"/>
      <w:r>
        <w:rPr>
          <w:rFonts w:eastAsia="Calibri"/>
        </w:rPr>
        <w:t xml:space="preserve"> </w:t>
      </w:r>
      <w:proofErr w:type="spellStart"/>
      <w:r>
        <w:rPr>
          <w:rFonts w:eastAsia="Calibri"/>
        </w:rPr>
        <w:t>specimenului</w:t>
      </w:r>
      <w:proofErr w:type="spellEnd"/>
      <w:r>
        <w:rPr>
          <w:rFonts w:eastAsia="Calibri"/>
        </w:rPr>
        <w:t xml:space="preserve"> de </w:t>
      </w:r>
      <w:proofErr w:type="spellStart"/>
      <w:r>
        <w:rPr>
          <w:rFonts w:eastAsia="Calibri"/>
        </w:rPr>
        <w:t>semnătură</w:t>
      </w:r>
      <w:proofErr w:type="spellEnd"/>
      <w:r>
        <w:rPr>
          <w:rFonts w:eastAsia="Calibri"/>
        </w:rPr>
        <w:t xml:space="preserve"> </w:t>
      </w:r>
      <w:proofErr w:type="spellStart"/>
      <w:r>
        <w:rPr>
          <w:rFonts w:eastAsia="Calibri"/>
        </w:rPr>
        <w:t>depus</w:t>
      </w:r>
      <w:proofErr w:type="spellEnd"/>
      <w:r>
        <w:rPr>
          <w:rFonts w:eastAsia="Calibri"/>
        </w:rPr>
        <w:t xml:space="preserve"> la </w:t>
      </w:r>
      <w:proofErr w:type="spellStart"/>
      <w:r>
        <w:rPr>
          <w:rFonts w:eastAsia="Calibri"/>
        </w:rPr>
        <w:t>biroul</w:t>
      </w:r>
      <w:proofErr w:type="spellEnd"/>
      <w:r>
        <w:rPr>
          <w:rFonts w:eastAsia="Calibri"/>
        </w:rPr>
        <w:t xml:space="preserve"> </w:t>
      </w:r>
      <w:proofErr w:type="gramStart"/>
      <w:r>
        <w:rPr>
          <w:rFonts w:eastAsia="Calibri"/>
        </w:rPr>
        <w:t>notarial ,</w:t>
      </w:r>
      <w:proofErr w:type="gramEnd"/>
      <w:r>
        <w:rPr>
          <w:rFonts w:eastAsia="Calibri"/>
        </w:rPr>
        <w:t xml:space="preserve"> de pe </w:t>
      </w:r>
      <w:proofErr w:type="spellStart"/>
      <w:r>
        <w:rPr>
          <w:rFonts w:eastAsia="Calibri"/>
        </w:rPr>
        <w:t>cele</w:t>
      </w:r>
      <w:proofErr w:type="spellEnd"/>
      <w:r>
        <w:rPr>
          <w:rFonts w:eastAsia="Calibri"/>
        </w:rPr>
        <w:t xml:space="preserve">............... </w:t>
      </w:r>
      <w:proofErr w:type="spellStart"/>
      <w:r>
        <w:rPr>
          <w:rFonts w:eastAsia="Calibri"/>
        </w:rPr>
        <w:t>exemplare</w:t>
      </w:r>
      <w:proofErr w:type="spellEnd"/>
      <w:r>
        <w:rPr>
          <w:rFonts w:eastAsia="Calibri"/>
        </w:rPr>
        <w:t xml:space="preserve"> ale </w:t>
      </w:r>
      <w:proofErr w:type="spellStart"/>
      <w:r>
        <w:rPr>
          <w:rFonts w:eastAsia="Calibri"/>
        </w:rPr>
        <w:t>înscrisului</w:t>
      </w:r>
      <w:proofErr w:type="spellEnd"/>
      <w:r>
        <w:rPr>
          <w:rFonts w:eastAsia="Calibri"/>
        </w:rPr>
        <w:t xml:space="preserve">, care are ca </w:t>
      </w:r>
      <w:proofErr w:type="spellStart"/>
      <w:r>
        <w:rPr>
          <w:rFonts w:eastAsia="Calibri"/>
        </w:rPr>
        <w:t>parte</w:t>
      </w:r>
      <w:proofErr w:type="spellEnd"/>
      <w:r>
        <w:rPr>
          <w:rFonts w:eastAsia="Calibri"/>
        </w:rPr>
        <w:t xml:space="preserve"> </w:t>
      </w:r>
      <w:proofErr w:type="spellStart"/>
      <w:r>
        <w:rPr>
          <w:rFonts w:eastAsia="Calibri"/>
        </w:rPr>
        <w:t>integrantă</w:t>
      </w:r>
      <w:proofErr w:type="spellEnd"/>
      <w:r>
        <w:rPr>
          <w:rFonts w:eastAsia="Calibri"/>
        </w:rPr>
        <w:t xml:space="preserve"> o </w:t>
      </w:r>
      <w:proofErr w:type="spellStart"/>
      <w:r>
        <w:rPr>
          <w:rFonts w:eastAsia="Calibri"/>
        </w:rPr>
        <w:t>copie</w:t>
      </w:r>
      <w:proofErr w:type="spellEnd"/>
      <w:r>
        <w:rPr>
          <w:rFonts w:eastAsia="Calibri"/>
        </w:rPr>
        <w:t xml:space="preserve"> a </w:t>
      </w:r>
      <w:proofErr w:type="spellStart"/>
      <w:r>
        <w:rPr>
          <w:rFonts w:eastAsia="Calibri"/>
        </w:rPr>
        <w:t>actului</w:t>
      </w:r>
      <w:proofErr w:type="spellEnd"/>
      <w:r>
        <w:rPr>
          <w:rFonts w:eastAsia="Calibri"/>
        </w:rPr>
        <w:t xml:space="preserve"> </w:t>
      </w:r>
      <w:proofErr w:type="spellStart"/>
      <w:r>
        <w:rPr>
          <w:rFonts w:eastAsia="Calibri"/>
        </w:rPr>
        <w:t>tradus</w:t>
      </w:r>
      <w:proofErr w:type="spellEnd"/>
      <w:r>
        <w:rPr>
          <w:rFonts w:eastAsia="Calibri"/>
        </w:rPr>
        <w:t>.</w:t>
      </w:r>
    </w:p>
    <w:p w14:paraId="31298B37" w14:textId="77777777" w:rsidR="003D383E" w:rsidRDefault="003D383E" w:rsidP="003D383E">
      <w:pPr>
        <w:jc w:val="both"/>
        <w:rPr>
          <w:rFonts w:eastAsia="Calibri"/>
        </w:rPr>
      </w:pPr>
      <w:proofErr w:type="spellStart"/>
      <w:r>
        <w:rPr>
          <w:rFonts w:eastAsia="Calibri"/>
        </w:rPr>
        <w:t>Înscrisul</w:t>
      </w:r>
      <w:proofErr w:type="spellEnd"/>
      <w:r>
        <w:rPr>
          <w:rFonts w:eastAsia="Calibri"/>
        </w:rPr>
        <w:t xml:space="preserve"> a </w:t>
      </w:r>
      <w:proofErr w:type="spellStart"/>
      <w:r>
        <w:rPr>
          <w:rFonts w:eastAsia="Calibri"/>
        </w:rPr>
        <w:t>cărui</w:t>
      </w:r>
      <w:proofErr w:type="spellEnd"/>
      <w:r>
        <w:rPr>
          <w:rFonts w:eastAsia="Calibri"/>
        </w:rPr>
        <w:t xml:space="preserve"> </w:t>
      </w:r>
      <w:proofErr w:type="spellStart"/>
      <w:r>
        <w:rPr>
          <w:rFonts w:eastAsia="Calibri"/>
        </w:rPr>
        <w:t>traducere</w:t>
      </w:r>
      <w:proofErr w:type="spellEnd"/>
      <w:r>
        <w:rPr>
          <w:rFonts w:eastAsia="Calibri"/>
        </w:rPr>
        <w:t xml:space="preserve"> se </w:t>
      </w:r>
      <w:proofErr w:type="spellStart"/>
      <w:r>
        <w:rPr>
          <w:rFonts w:eastAsia="Calibri"/>
        </w:rPr>
        <w:t>solicită</w:t>
      </w:r>
      <w:proofErr w:type="spellEnd"/>
      <w:r>
        <w:rPr>
          <w:rFonts w:eastAsia="Calibri"/>
        </w:rPr>
        <w:t xml:space="preserve"> </w:t>
      </w:r>
      <w:proofErr w:type="spellStart"/>
      <w:r>
        <w:rPr>
          <w:rFonts w:eastAsia="Calibri"/>
        </w:rPr>
        <w:t>este</w:t>
      </w:r>
      <w:proofErr w:type="spellEnd"/>
      <w:r>
        <w:rPr>
          <w:rFonts w:eastAsia="Calibri"/>
        </w:rPr>
        <w:t xml:space="preserve"> un </w:t>
      </w:r>
      <w:proofErr w:type="spellStart"/>
      <w:r>
        <w:rPr>
          <w:rFonts w:eastAsia="Calibri"/>
        </w:rPr>
        <w:t>înscris</w:t>
      </w:r>
      <w:proofErr w:type="spellEnd"/>
      <w:r>
        <w:rPr>
          <w:rFonts w:eastAsia="Calibri"/>
        </w:rPr>
        <w:t xml:space="preserve"> </w:t>
      </w:r>
      <w:proofErr w:type="spellStart"/>
      <w:r>
        <w:rPr>
          <w:rFonts w:eastAsia="Calibri"/>
        </w:rPr>
        <w:t>autentic</w:t>
      </w:r>
      <w:proofErr w:type="spellEnd"/>
      <w:r>
        <w:rPr>
          <w:rFonts w:eastAsia="Calibri"/>
        </w:rPr>
        <w:t>.</w:t>
      </w:r>
    </w:p>
    <w:p w14:paraId="21CE98EB" w14:textId="77777777" w:rsidR="003D383E" w:rsidRDefault="003D383E" w:rsidP="003D383E">
      <w:pPr>
        <w:jc w:val="both"/>
        <w:rPr>
          <w:rFonts w:eastAsia="Calibri"/>
        </w:rPr>
      </w:pPr>
      <w:r>
        <w:rPr>
          <w:rFonts w:eastAsia="Calibri"/>
        </w:rPr>
        <w:t xml:space="preserve">S-a </w:t>
      </w:r>
      <w:proofErr w:type="spellStart"/>
      <w:r>
        <w:rPr>
          <w:rFonts w:eastAsia="Calibri"/>
        </w:rPr>
        <w:t>încasat</w:t>
      </w:r>
      <w:proofErr w:type="spellEnd"/>
      <w:r>
        <w:rPr>
          <w:rFonts w:eastAsia="Calibri"/>
        </w:rPr>
        <w:t xml:space="preserve"> </w:t>
      </w:r>
      <w:proofErr w:type="spellStart"/>
      <w:r>
        <w:rPr>
          <w:rFonts w:eastAsia="Calibri"/>
        </w:rPr>
        <w:t>onorariul</w:t>
      </w:r>
      <w:proofErr w:type="spellEnd"/>
      <w:r>
        <w:rPr>
          <w:rFonts w:eastAsia="Calibri"/>
        </w:rPr>
        <w:t xml:space="preserve"> de ………………………</w:t>
      </w:r>
      <w:proofErr w:type="gramStart"/>
      <w:r>
        <w:rPr>
          <w:rFonts w:eastAsia="Calibri"/>
        </w:rPr>
        <w:t>…..</w:t>
      </w:r>
      <w:proofErr w:type="gramEnd"/>
      <w:r>
        <w:rPr>
          <w:rFonts w:eastAsia="Calibri"/>
        </w:rPr>
        <w:t xml:space="preserve"> lei, cu OP.</w:t>
      </w:r>
    </w:p>
    <w:p w14:paraId="0DCD4458" w14:textId="77777777" w:rsidR="003D383E" w:rsidRDefault="003D383E" w:rsidP="003D383E">
      <w:pPr>
        <w:rPr>
          <w:rFonts w:eastAsia="Calibri"/>
        </w:rPr>
      </w:pPr>
    </w:p>
    <w:p w14:paraId="16C396B3" w14:textId="77777777" w:rsidR="003D383E" w:rsidRDefault="003D383E" w:rsidP="003D383E">
      <w:pPr>
        <w:tabs>
          <w:tab w:val="left" w:pos="540"/>
          <w:tab w:val="left" w:pos="1440"/>
        </w:tabs>
        <w:jc w:val="center"/>
        <w:rPr>
          <w:rFonts w:eastAsia="Calibri"/>
          <w:b/>
        </w:rPr>
      </w:pPr>
      <w:proofErr w:type="spellStart"/>
      <w:r>
        <w:rPr>
          <w:rFonts w:eastAsia="Calibri"/>
          <w:b/>
        </w:rPr>
        <w:t>Notar</w:t>
      </w:r>
      <w:proofErr w:type="spellEnd"/>
      <w:r>
        <w:rPr>
          <w:rFonts w:eastAsia="Calibri"/>
          <w:b/>
        </w:rPr>
        <w:t xml:space="preserve"> public,</w:t>
      </w:r>
    </w:p>
    <w:p w14:paraId="68790361" w14:textId="77777777" w:rsidR="003D383E" w:rsidRDefault="003D383E" w:rsidP="003D383E">
      <w:pPr>
        <w:ind w:right="102"/>
        <w:contextualSpacing/>
        <w:jc w:val="center"/>
        <w:rPr>
          <w:rFonts w:cs="Calibri"/>
          <w:i/>
          <w:sz w:val="18"/>
          <w:szCs w:val="18"/>
        </w:rPr>
      </w:pPr>
      <w:proofErr w:type="spellStart"/>
      <w:r>
        <w:rPr>
          <w:b/>
          <w:i/>
          <w:u w:val="single"/>
        </w:rPr>
        <w:t>ANGHELACHE</w:t>
      </w:r>
      <w:proofErr w:type="spellEnd"/>
      <w:r>
        <w:rPr>
          <w:b/>
          <w:i/>
          <w:u w:val="single"/>
        </w:rPr>
        <w:t xml:space="preserve"> </w:t>
      </w:r>
      <w:proofErr w:type="spellStart"/>
      <w:r>
        <w:rPr>
          <w:b/>
          <w:i/>
          <w:u w:val="single"/>
        </w:rPr>
        <w:t>Geanina</w:t>
      </w:r>
      <w:proofErr w:type="spellEnd"/>
      <w:r>
        <w:rPr>
          <w:b/>
          <w:i/>
          <w:u w:val="single"/>
        </w:rPr>
        <w:t xml:space="preserve"> </w:t>
      </w:r>
      <w:proofErr w:type="spellStart"/>
      <w:r>
        <w:rPr>
          <w:b/>
          <w:i/>
          <w:u w:val="single"/>
        </w:rPr>
        <w:t>Mădălina</w:t>
      </w:r>
      <w:proofErr w:type="spellEnd"/>
    </w:p>
    <w:sectPr w:rsidR="003D383E" w:rsidSect="0090070F">
      <w:headerReference w:type="even" r:id="rId14"/>
      <w:headerReference w:type="default" r:id="rId15"/>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93FCA" w14:textId="77777777" w:rsidR="009A528C" w:rsidRDefault="009A528C">
      <w:r>
        <w:separator/>
      </w:r>
    </w:p>
  </w:endnote>
  <w:endnote w:type="continuationSeparator" w:id="0">
    <w:p w14:paraId="16B941D6" w14:textId="77777777" w:rsidR="009A528C" w:rsidRDefault="009A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33F8" w14:textId="52D961FC" w:rsidR="00FF6E7C" w:rsidRPr="00150BFA" w:rsidRDefault="00FF6E7C" w:rsidP="002327A8">
    <w:pPr>
      <w:jc w:val="center"/>
      <w:rPr>
        <w:sz w:val="4"/>
        <w:szCs w:val="4"/>
      </w:rPr>
    </w:pPr>
    <w:r>
      <w:rPr>
        <w:noProof/>
        <w:sz w:val="4"/>
        <w:szCs w:val="4"/>
      </w:rPr>
      <w:drawing>
        <wp:inline distT="0" distB="0" distL="0" distR="0" wp14:anchorId="2C577BD9" wp14:editId="01DE93D1">
          <wp:extent cx="6858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p>
  <w:p w14:paraId="454A6B50" w14:textId="77777777" w:rsidR="00FF6E7C" w:rsidRDefault="00FF6E7C">
    <w:pPr>
      <w:pStyle w:val="Footer"/>
    </w:pPr>
  </w:p>
  <w:p w14:paraId="5303BB12" w14:textId="77777777" w:rsidR="00FF6E7C" w:rsidRDefault="00FF6E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F1F6" w14:textId="77777777" w:rsidR="009A528C" w:rsidRDefault="009A528C">
      <w:r>
        <w:separator/>
      </w:r>
    </w:p>
  </w:footnote>
  <w:footnote w:type="continuationSeparator" w:id="0">
    <w:p w14:paraId="4B994401" w14:textId="77777777" w:rsidR="009A528C" w:rsidRDefault="009A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38FFD" w14:textId="77777777" w:rsidR="00FF6E7C" w:rsidRPr="000E1EED" w:rsidRDefault="00FF6E7C" w:rsidP="000E1EED">
    <w:pPr>
      <w:pStyle w:val="Header"/>
      <w:jc w:val="center"/>
    </w:pPr>
  </w:p>
  <w:p w14:paraId="2867BE8B" w14:textId="77777777" w:rsidR="00FF6E7C" w:rsidRDefault="00FF6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CAE21" w14:textId="248A1861" w:rsidR="00FF6E7C" w:rsidRPr="00C00F0F" w:rsidRDefault="00FF6E7C">
    <w:pPr>
      <w:pStyle w:val="Header"/>
      <w:jc w:val="center"/>
      <w:rPr>
        <w:sz w:val="4"/>
        <w:szCs w:val="4"/>
      </w:rPr>
    </w:pPr>
    <w:r>
      <w:rPr>
        <w:noProof/>
        <w:sz w:val="4"/>
        <w:szCs w:val="4"/>
      </w:rPr>
      <w:drawing>
        <wp:inline distT="0" distB="0" distL="0" distR="0" wp14:anchorId="7E415B46" wp14:editId="4BF22BE0">
          <wp:extent cx="4095750" cy="208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2089150"/>
                  </a:xfrm>
                  <a:prstGeom prst="rect">
                    <a:avLst/>
                  </a:prstGeom>
                  <a:noFill/>
                  <a:ln>
                    <a:noFill/>
                  </a:ln>
                </pic:spPr>
              </pic:pic>
            </a:graphicData>
          </a:graphic>
        </wp:inline>
      </w:drawing>
    </w:r>
  </w:p>
  <w:p w14:paraId="0C80CC55" w14:textId="77777777" w:rsidR="00FF6E7C" w:rsidRDefault="00FF6E7C">
    <w:pPr>
      <w:pStyle w:val="Header"/>
    </w:pPr>
  </w:p>
  <w:p w14:paraId="442B9007" w14:textId="77777777" w:rsidR="00FF6E7C" w:rsidRDefault="00FF6E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D74B4" w14:textId="77777777" w:rsidR="00FF6E7C" w:rsidRPr="000237A8" w:rsidRDefault="00FF6E7C">
    <w:pPr>
      <w:pStyle w:val="JuHeader"/>
      <w:rPr>
        <w:lang w:val="pl-PL"/>
      </w:rPr>
    </w:pPr>
    <w:r>
      <w:rPr>
        <w:rStyle w:val="PageNumber"/>
      </w:rPr>
      <w:fldChar w:fldCharType="begin"/>
    </w:r>
    <w:r w:rsidRPr="000237A8">
      <w:rPr>
        <w:rStyle w:val="PageNumber"/>
        <w:lang w:val="pl-PL"/>
      </w:rPr>
      <w:instrText xml:space="preserve"> PAGE </w:instrText>
    </w:r>
    <w:r>
      <w:rPr>
        <w:rStyle w:val="PageNumber"/>
      </w:rPr>
      <w:fldChar w:fldCharType="separate"/>
    </w:r>
    <w:r>
      <w:rPr>
        <w:rStyle w:val="PageNumber"/>
        <w:noProof/>
        <w:lang w:val="pl-PL"/>
      </w:rPr>
      <w:t>2</w:t>
    </w:r>
    <w:r>
      <w:rPr>
        <w:rStyle w:val="PageNumber"/>
      </w:rPr>
      <w:fldChar w:fldCharType="end"/>
    </w:r>
    <w:r w:rsidRPr="000237A8">
      <w:rPr>
        <w:lang w:val="pl-PL"/>
      </w:rPr>
      <w:tab/>
      <w:t>W</w:t>
    </w:r>
    <w:r w:rsidRPr="00B41CDF">
      <w:rPr>
        <w:lang w:val="pl-PL"/>
      </w:rPr>
      <w:t>Ę</w:t>
    </w:r>
    <w:r w:rsidRPr="000237A8">
      <w:rPr>
        <w:lang w:val="pl-PL"/>
      </w:rPr>
      <w:t xml:space="preserve">GRZYNOWSKI AND SMOLCZEWSKI v. POLAND </w:t>
    </w:r>
    <w:r>
      <w:rPr>
        <w:lang w:val="pl-PL"/>
      </w:rPr>
      <w:t>JUDGMENT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5CDC1" w14:textId="77777777" w:rsidR="00FF6E7C" w:rsidRPr="000237A8" w:rsidRDefault="00FF6E7C">
    <w:pPr>
      <w:pStyle w:val="JuHeader"/>
      <w:rPr>
        <w:lang w:val="pl-PL"/>
      </w:rPr>
    </w:pPr>
    <w:r>
      <w:tab/>
    </w:r>
    <w:r w:rsidRPr="000237A8">
      <w:rPr>
        <w:lang w:val="pl-PL"/>
      </w:rPr>
      <w:t>W</w:t>
    </w:r>
    <w:r>
      <w:rPr>
        <w:lang w:val="pl-PL"/>
      </w:rPr>
      <w:t>Ę</w:t>
    </w:r>
    <w:r w:rsidRPr="000237A8">
      <w:rPr>
        <w:lang w:val="pl-PL"/>
      </w:rPr>
      <w:t>GRZYNOWSKI AND SMOLCZEWSKI v. POLAND</w:t>
    </w:r>
    <w:r>
      <w:rPr>
        <w:lang w:val="pl-PL"/>
      </w:rPr>
      <w:t xml:space="preserve"> JUDGMENT</w:t>
    </w:r>
    <w:r w:rsidRPr="000237A8">
      <w:rPr>
        <w:lang w:val="pl-PL"/>
      </w:rPr>
      <w:tab/>
    </w:r>
    <w:r>
      <w:rPr>
        <w:rStyle w:val="PageNumber"/>
      </w:rPr>
      <w:fldChar w:fldCharType="begin"/>
    </w:r>
    <w:r w:rsidRPr="000237A8">
      <w:rPr>
        <w:rStyle w:val="PageNumber"/>
        <w:lang w:val="pl-PL"/>
      </w:rPr>
      <w:instrText xml:space="preserve"> PAGE </w:instrText>
    </w:r>
    <w:r>
      <w:rPr>
        <w:rStyle w:val="PageNumber"/>
      </w:rPr>
      <w:fldChar w:fldCharType="separate"/>
    </w:r>
    <w:r>
      <w:rPr>
        <w:rStyle w:val="PageNumber"/>
        <w:noProof/>
        <w:lang w:val="pl-PL"/>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B742E0"/>
    <w:multiLevelType w:val="hybridMultilevel"/>
    <w:tmpl w:val="15A607FC"/>
    <w:lvl w:ilvl="0" w:tplc="C9820E68">
      <w:start w:val="1"/>
      <w:numFmt w:val="decimal"/>
      <w:pStyle w:val="Standardowyobserwacja"/>
      <w:lvlText w:val="%1."/>
      <w:lvlJc w:val="left"/>
      <w:pPr>
        <w:tabs>
          <w:tab w:val="num" w:pos="720"/>
        </w:tabs>
        <w:ind w:left="720" w:hanging="360"/>
      </w:pPr>
      <w:rPr>
        <w:b/>
        <w:lang w:val="en-US"/>
      </w:rPr>
    </w:lvl>
    <w:lvl w:ilvl="1" w:tplc="04150001">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21"/>
    <w:rsid w:val="000000D6"/>
    <w:rsid w:val="00004599"/>
    <w:rsid w:val="0001144F"/>
    <w:rsid w:val="0001607B"/>
    <w:rsid w:val="000165AA"/>
    <w:rsid w:val="000301F4"/>
    <w:rsid w:val="00032C31"/>
    <w:rsid w:val="0003377B"/>
    <w:rsid w:val="000348B4"/>
    <w:rsid w:val="000348E3"/>
    <w:rsid w:val="00052DA1"/>
    <w:rsid w:val="000532A7"/>
    <w:rsid w:val="00053691"/>
    <w:rsid w:val="0005636A"/>
    <w:rsid w:val="00061187"/>
    <w:rsid w:val="00061887"/>
    <w:rsid w:val="0006681D"/>
    <w:rsid w:val="000800FD"/>
    <w:rsid w:val="00082321"/>
    <w:rsid w:val="00083869"/>
    <w:rsid w:val="00085B25"/>
    <w:rsid w:val="00086909"/>
    <w:rsid w:val="00086927"/>
    <w:rsid w:val="00087831"/>
    <w:rsid w:val="00090D4D"/>
    <w:rsid w:val="000916C2"/>
    <w:rsid w:val="00094400"/>
    <w:rsid w:val="000A00A1"/>
    <w:rsid w:val="000A6FD5"/>
    <w:rsid w:val="000B58DE"/>
    <w:rsid w:val="000C76D9"/>
    <w:rsid w:val="000D4DD6"/>
    <w:rsid w:val="000E04A6"/>
    <w:rsid w:val="000E05C0"/>
    <w:rsid w:val="000E1111"/>
    <w:rsid w:val="000E1EED"/>
    <w:rsid w:val="000F20F4"/>
    <w:rsid w:val="000F23BD"/>
    <w:rsid w:val="000F2F28"/>
    <w:rsid w:val="000F4E99"/>
    <w:rsid w:val="000F6365"/>
    <w:rsid w:val="00100416"/>
    <w:rsid w:val="00114408"/>
    <w:rsid w:val="001149FD"/>
    <w:rsid w:val="00114C50"/>
    <w:rsid w:val="0011604E"/>
    <w:rsid w:val="00116F22"/>
    <w:rsid w:val="0011709A"/>
    <w:rsid w:val="00122CB3"/>
    <w:rsid w:val="00122E67"/>
    <w:rsid w:val="00127DE4"/>
    <w:rsid w:val="00135BFF"/>
    <w:rsid w:val="00144941"/>
    <w:rsid w:val="00146DDC"/>
    <w:rsid w:val="00151B85"/>
    <w:rsid w:val="001536DB"/>
    <w:rsid w:val="00154E4D"/>
    <w:rsid w:val="00157450"/>
    <w:rsid w:val="00162946"/>
    <w:rsid w:val="00166755"/>
    <w:rsid w:val="0017292E"/>
    <w:rsid w:val="00173DD2"/>
    <w:rsid w:val="00177FA0"/>
    <w:rsid w:val="00183025"/>
    <w:rsid w:val="00185F47"/>
    <w:rsid w:val="00186EC6"/>
    <w:rsid w:val="0018780C"/>
    <w:rsid w:val="00187EE1"/>
    <w:rsid w:val="00191467"/>
    <w:rsid w:val="00191AF2"/>
    <w:rsid w:val="0019205F"/>
    <w:rsid w:val="001958AF"/>
    <w:rsid w:val="00196A47"/>
    <w:rsid w:val="001A3387"/>
    <w:rsid w:val="001A5080"/>
    <w:rsid w:val="001B1FDD"/>
    <w:rsid w:val="001B306A"/>
    <w:rsid w:val="001B32A8"/>
    <w:rsid w:val="001B5D4E"/>
    <w:rsid w:val="001C7222"/>
    <w:rsid w:val="001C73A7"/>
    <w:rsid w:val="001D097C"/>
    <w:rsid w:val="001D351F"/>
    <w:rsid w:val="001D788D"/>
    <w:rsid w:val="001D7F8B"/>
    <w:rsid w:val="001E07EE"/>
    <w:rsid w:val="001E0DCB"/>
    <w:rsid w:val="001E2771"/>
    <w:rsid w:val="001E63B9"/>
    <w:rsid w:val="001F5D3F"/>
    <w:rsid w:val="002018A6"/>
    <w:rsid w:val="00207BA7"/>
    <w:rsid w:val="002209A1"/>
    <w:rsid w:val="00225CCE"/>
    <w:rsid w:val="00226601"/>
    <w:rsid w:val="00230BB1"/>
    <w:rsid w:val="0023197A"/>
    <w:rsid w:val="002327A8"/>
    <w:rsid w:val="00234215"/>
    <w:rsid w:val="00234340"/>
    <w:rsid w:val="0024624F"/>
    <w:rsid w:val="0024644A"/>
    <w:rsid w:val="00252452"/>
    <w:rsid w:val="002579E5"/>
    <w:rsid w:val="00261ADC"/>
    <w:rsid w:val="00262293"/>
    <w:rsid w:val="00265C34"/>
    <w:rsid w:val="00267772"/>
    <w:rsid w:val="0027447E"/>
    <w:rsid w:val="0028113C"/>
    <w:rsid w:val="00284A09"/>
    <w:rsid w:val="002955DB"/>
    <w:rsid w:val="002A0D04"/>
    <w:rsid w:val="002A14D9"/>
    <w:rsid w:val="002A20C8"/>
    <w:rsid w:val="002A2AE5"/>
    <w:rsid w:val="002A3216"/>
    <w:rsid w:val="002A379D"/>
    <w:rsid w:val="002A3901"/>
    <w:rsid w:val="002A5358"/>
    <w:rsid w:val="002A5920"/>
    <w:rsid w:val="002B3136"/>
    <w:rsid w:val="002B7C02"/>
    <w:rsid w:val="002C2EAC"/>
    <w:rsid w:val="002C3916"/>
    <w:rsid w:val="002C4773"/>
    <w:rsid w:val="002D00E8"/>
    <w:rsid w:val="002D43D8"/>
    <w:rsid w:val="002D6678"/>
    <w:rsid w:val="002E285E"/>
    <w:rsid w:val="002F187B"/>
    <w:rsid w:val="002F5833"/>
    <w:rsid w:val="002F6A2A"/>
    <w:rsid w:val="003044B0"/>
    <w:rsid w:val="00304E0A"/>
    <w:rsid w:val="00340420"/>
    <w:rsid w:val="003418BC"/>
    <w:rsid w:val="00342CC5"/>
    <w:rsid w:val="00347A62"/>
    <w:rsid w:val="00350589"/>
    <w:rsid w:val="003506F1"/>
    <w:rsid w:val="00350F86"/>
    <w:rsid w:val="003565A6"/>
    <w:rsid w:val="00357297"/>
    <w:rsid w:val="003651F0"/>
    <w:rsid w:val="003716CD"/>
    <w:rsid w:val="003744F3"/>
    <w:rsid w:val="003775F6"/>
    <w:rsid w:val="0038560F"/>
    <w:rsid w:val="00386844"/>
    <w:rsid w:val="003A0B8A"/>
    <w:rsid w:val="003A4739"/>
    <w:rsid w:val="003A6D08"/>
    <w:rsid w:val="003B4DCA"/>
    <w:rsid w:val="003C10BF"/>
    <w:rsid w:val="003C1A73"/>
    <w:rsid w:val="003D2FF6"/>
    <w:rsid w:val="003D383E"/>
    <w:rsid w:val="003D59F8"/>
    <w:rsid w:val="003D7FA6"/>
    <w:rsid w:val="003E00BF"/>
    <w:rsid w:val="003E32C9"/>
    <w:rsid w:val="003E43AB"/>
    <w:rsid w:val="003F2431"/>
    <w:rsid w:val="00401E4B"/>
    <w:rsid w:val="00403071"/>
    <w:rsid w:val="00403CE2"/>
    <w:rsid w:val="004043D3"/>
    <w:rsid w:val="0041099E"/>
    <w:rsid w:val="004125C6"/>
    <w:rsid w:val="0042320B"/>
    <w:rsid w:val="00424A46"/>
    <w:rsid w:val="004264B2"/>
    <w:rsid w:val="00426D6A"/>
    <w:rsid w:val="00430456"/>
    <w:rsid w:val="00440841"/>
    <w:rsid w:val="00441F1E"/>
    <w:rsid w:val="00443B7C"/>
    <w:rsid w:val="004447D3"/>
    <w:rsid w:val="0044649C"/>
    <w:rsid w:val="00451028"/>
    <w:rsid w:val="004579EF"/>
    <w:rsid w:val="00460B65"/>
    <w:rsid w:val="004639B0"/>
    <w:rsid w:val="004644D8"/>
    <w:rsid w:val="00471B54"/>
    <w:rsid w:val="004738AC"/>
    <w:rsid w:val="00486C2F"/>
    <w:rsid w:val="00494F2F"/>
    <w:rsid w:val="0049553B"/>
    <w:rsid w:val="00497C97"/>
    <w:rsid w:val="004A01F6"/>
    <w:rsid w:val="004A08BD"/>
    <w:rsid w:val="004A2168"/>
    <w:rsid w:val="004A217D"/>
    <w:rsid w:val="004A5A9E"/>
    <w:rsid w:val="004C272E"/>
    <w:rsid w:val="004C3023"/>
    <w:rsid w:val="004D02E4"/>
    <w:rsid w:val="004D1098"/>
    <w:rsid w:val="004D12EF"/>
    <w:rsid w:val="004D306D"/>
    <w:rsid w:val="004D6FBB"/>
    <w:rsid w:val="004D725F"/>
    <w:rsid w:val="004E1C57"/>
    <w:rsid w:val="004E4FFF"/>
    <w:rsid w:val="004F32EC"/>
    <w:rsid w:val="004F57B8"/>
    <w:rsid w:val="004F6C96"/>
    <w:rsid w:val="00505241"/>
    <w:rsid w:val="00514BD8"/>
    <w:rsid w:val="00515C5E"/>
    <w:rsid w:val="00515D76"/>
    <w:rsid w:val="005176BA"/>
    <w:rsid w:val="0052008B"/>
    <w:rsid w:val="005266C3"/>
    <w:rsid w:val="00526D4C"/>
    <w:rsid w:val="00536ADE"/>
    <w:rsid w:val="00536B57"/>
    <w:rsid w:val="00542315"/>
    <w:rsid w:val="00545419"/>
    <w:rsid w:val="0055494E"/>
    <w:rsid w:val="00561084"/>
    <w:rsid w:val="00561FB6"/>
    <w:rsid w:val="0056439D"/>
    <w:rsid w:val="005659B9"/>
    <w:rsid w:val="005734E3"/>
    <w:rsid w:val="00583043"/>
    <w:rsid w:val="00593F44"/>
    <w:rsid w:val="00595220"/>
    <w:rsid w:val="005A4874"/>
    <w:rsid w:val="005B6D15"/>
    <w:rsid w:val="005B7236"/>
    <w:rsid w:val="005B756E"/>
    <w:rsid w:val="005C0A2C"/>
    <w:rsid w:val="005C19B5"/>
    <w:rsid w:val="005C3921"/>
    <w:rsid w:val="005C4292"/>
    <w:rsid w:val="005D0AA7"/>
    <w:rsid w:val="005D0DAA"/>
    <w:rsid w:val="005D7326"/>
    <w:rsid w:val="005E3530"/>
    <w:rsid w:val="005E3D1E"/>
    <w:rsid w:val="005F79FA"/>
    <w:rsid w:val="006023BE"/>
    <w:rsid w:val="00602CA4"/>
    <w:rsid w:val="00615726"/>
    <w:rsid w:val="0062000F"/>
    <w:rsid w:val="00630EA2"/>
    <w:rsid w:val="006353B3"/>
    <w:rsid w:val="00643CCB"/>
    <w:rsid w:val="00674FC7"/>
    <w:rsid w:val="006839EB"/>
    <w:rsid w:val="0068403F"/>
    <w:rsid w:val="006851AF"/>
    <w:rsid w:val="00691020"/>
    <w:rsid w:val="00691458"/>
    <w:rsid w:val="00695301"/>
    <w:rsid w:val="006A35B6"/>
    <w:rsid w:val="006B48EC"/>
    <w:rsid w:val="006C3E19"/>
    <w:rsid w:val="006C7869"/>
    <w:rsid w:val="006C7B44"/>
    <w:rsid w:val="006D0621"/>
    <w:rsid w:val="006D7E48"/>
    <w:rsid w:val="006E6FFA"/>
    <w:rsid w:val="006F4998"/>
    <w:rsid w:val="006F693F"/>
    <w:rsid w:val="0070212A"/>
    <w:rsid w:val="00706AA3"/>
    <w:rsid w:val="007150D8"/>
    <w:rsid w:val="00720F50"/>
    <w:rsid w:val="00721B78"/>
    <w:rsid w:val="00724C14"/>
    <w:rsid w:val="00727CF3"/>
    <w:rsid w:val="007305A7"/>
    <w:rsid w:val="00731206"/>
    <w:rsid w:val="00732F18"/>
    <w:rsid w:val="007359C9"/>
    <w:rsid w:val="007410A7"/>
    <w:rsid w:val="00741B5B"/>
    <w:rsid w:val="00743FA4"/>
    <w:rsid w:val="00750BE3"/>
    <w:rsid w:val="00750F2C"/>
    <w:rsid w:val="0075161B"/>
    <w:rsid w:val="007557E5"/>
    <w:rsid w:val="007558CA"/>
    <w:rsid w:val="00755F79"/>
    <w:rsid w:val="00780110"/>
    <w:rsid w:val="007877E1"/>
    <w:rsid w:val="00793115"/>
    <w:rsid w:val="007A3AAA"/>
    <w:rsid w:val="007A5CF6"/>
    <w:rsid w:val="007A67B3"/>
    <w:rsid w:val="007A6900"/>
    <w:rsid w:val="007B0A03"/>
    <w:rsid w:val="007B28AE"/>
    <w:rsid w:val="007B660A"/>
    <w:rsid w:val="007C33CE"/>
    <w:rsid w:val="007C3940"/>
    <w:rsid w:val="007C7AF6"/>
    <w:rsid w:val="007E1958"/>
    <w:rsid w:val="007E1CC2"/>
    <w:rsid w:val="007F09D6"/>
    <w:rsid w:val="007F1959"/>
    <w:rsid w:val="007F1CF9"/>
    <w:rsid w:val="007F3B50"/>
    <w:rsid w:val="00800AD9"/>
    <w:rsid w:val="00820F67"/>
    <w:rsid w:val="00821862"/>
    <w:rsid w:val="00821EB7"/>
    <w:rsid w:val="0082222E"/>
    <w:rsid w:val="008227C5"/>
    <w:rsid w:val="00824EAD"/>
    <w:rsid w:val="00826CA3"/>
    <w:rsid w:val="00827EEC"/>
    <w:rsid w:val="00830857"/>
    <w:rsid w:val="00832CB5"/>
    <w:rsid w:val="00833E9B"/>
    <w:rsid w:val="00837A65"/>
    <w:rsid w:val="0084126C"/>
    <w:rsid w:val="008420B0"/>
    <w:rsid w:val="0084326D"/>
    <w:rsid w:val="008459CA"/>
    <w:rsid w:val="008549BF"/>
    <w:rsid w:val="008601FF"/>
    <w:rsid w:val="008660F0"/>
    <w:rsid w:val="0087182F"/>
    <w:rsid w:val="00871F53"/>
    <w:rsid w:val="00875AA5"/>
    <w:rsid w:val="00886B01"/>
    <w:rsid w:val="00891C6A"/>
    <w:rsid w:val="008A0242"/>
    <w:rsid w:val="008A70D9"/>
    <w:rsid w:val="008B45CF"/>
    <w:rsid w:val="008C0D33"/>
    <w:rsid w:val="008C20BD"/>
    <w:rsid w:val="008D6DC1"/>
    <w:rsid w:val="008E4366"/>
    <w:rsid w:val="008E6F94"/>
    <w:rsid w:val="008F0335"/>
    <w:rsid w:val="008F050B"/>
    <w:rsid w:val="008F65D4"/>
    <w:rsid w:val="009000D4"/>
    <w:rsid w:val="0090070F"/>
    <w:rsid w:val="009034BC"/>
    <w:rsid w:val="00903B2C"/>
    <w:rsid w:val="0090763B"/>
    <w:rsid w:val="00913437"/>
    <w:rsid w:val="00913474"/>
    <w:rsid w:val="0091394C"/>
    <w:rsid w:val="00914103"/>
    <w:rsid w:val="00914FC8"/>
    <w:rsid w:val="009305B9"/>
    <w:rsid w:val="00937A29"/>
    <w:rsid w:val="00937A7E"/>
    <w:rsid w:val="00940E61"/>
    <w:rsid w:val="0094268E"/>
    <w:rsid w:val="00943575"/>
    <w:rsid w:val="009451FE"/>
    <w:rsid w:val="00950329"/>
    <w:rsid w:val="009504A9"/>
    <w:rsid w:val="009653BC"/>
    <w:rsid w:val="00973555"/>
    <w:rsid w:val="00974201"/>
    <w:rsid w:val="0097479E"/>
    <w:rsid w:val="0097794D"/>
    <w:rsid w:val="009939E1"/>
    <w:rsid w:val="0099437E"/>
    <w:rsid w:val="009961D1"/>
    <w:rsid w:val="009A384D"/>
    <w:rsid w:val="009A528C"/>
    <w:rsid w:val="009B02E3"/>
    <w:rsid w:val="009B1B3C"/>
    <w:rsid w:val="009B4190"/>
    <w:rsid w:val="009B4EB4"/>
    <w:rsid w:val="009B760A"/>
    <w:rsid w:val="009B7A29"/>
    <w:rsid w:val="009C053A"/>
    <w:rsid w:val="009E01A0"/>
    <w:rsid w:val="009E298D"/>
    <w:rsid w:val="009E4C91"/>
    <w:rsid w:val="009E4FBD"/>
    <w:rsid w:val="009E5735"/>
    <w:rsid w:val="009E5CAA"/>
    <w:rsid w:val="009F033A"/>
    <w:rsid w:val="009F56B1"/>
    <w:rsid w:val="00A04D45"/>
    <w:rsid w:val="00A209CF"/>
    <w:rsid w:val="00A238DA"/>
    <w:rsid w:val="00A24E28"/>
    <w:rsid w:val="00A27467"/>
    <w:rsid w:val="00A403D2"/>
    <w:rsid w:val="00A47C02"/>
    <w:rsid w:val="00A621BC"/>
    <w:rsid w:val="00A72659"/>
    <w:rsid w:val="00A75E95"/>
    <w:rsid w:val="00A7781F"/>
    <w:rsid w:val="00A86190"/>
    <w:rsid w:val="00A86540"/>
    <w:rsid w:val="00A92DA0"/>
    <w:rsid w:val="00A9382F"/>
    <w:rsid w:val="00A95D53"/>
    <w:rsid w:val="00A9626D"/>
    <w:rsid w:val="00AA03C5"/>
    <w:rsid w:val="00AA2004"/>
    <w:rsid w:val="00AA5299"/>
    <w:rsid w:val="00AA53F1"/>
    <w:rsid w:val="00AA71DB"/>
    <w:rsid w:val="00AB099E"/>
    <w:rsid w:val="00AB45EA"/>
    <w:rsid w:val="00AC4113"/>
    <w:rsid w:val="00AC5A2A"/>
    <w:rsid w:val="00AC629F"/>
    <w:rsid w:val="00AD1966"/>
    <w:rsid w:val="00AD4D5A"/>
    <w:rsid w:val="00AE0AF9"/>
    <w:rsid w:val="00AE2179"/>
    <w:rsid w:val="00AE5214"/>
    <w:rsid w:val="00AE5EE3"/>
    <w:rsid w:val="00AF1855"/>
    <w:rsid w:val="00AF612C"/>
    <w:rsid w:val="00AF7EE3"/>
    <w:rsid w:val="00B012BC"/>
    <w:rsid w:val="00B130DB"/>
    <w:rsid w:val="00B227F9"/>
    <w:rsid w:val="00B3601A"/>
    <w:rsid w:val="00B41CDF"/>
    <w:rsid w:val="00B44EE1"/>
    <w:rsid w:val="00B465E5"/>
    <w:rsid w:val="00B62F11"/>
    <w:rsid w:val="00B65CD5"/>
    <w:rsid w:val="00B701DA"/>
    <w:rsid w:val="00B73F73"/>
    <w:rsid w:val="00B768B3"/>
    <w:rsid w:val="00B80AFB"/>
    <w:rsid w:val="00B82610"/>
    <w:rsid w:val="00B87A54"/>
    <w:rsid w:val="00B90AE7"/>
    <w:rsid w:val="00B95AE3"/>
    <w:rsid w:val="00BA29D0"/>
    <w:rsid w:val="00BA3FEB"/>
    <w:rsid w:val="00BC318B"/>
    <w:rsid w:val="00BC5260"/>
    <w:rsid w:val="00BD1A39"/>
    <w:rsid w:val="00BD5553"/>
    <w:rsid w:val="00BD560A"/>
    <w:rsid w:val="00BD7607"/>
    <w:rsid w:val="00BE0951"/>
    <w:rsid w:val="00BE5418"/>
    <w:rsid w:val="00BE798A"/>
    <w:rsid w:val="00C01CDB"/>
    <w:rsid w:val="00C03AA5"/>
    <w:rsid w:val="00C13B4A"/>
    <w:rsid w:val="00C15015"/>
    <w:rsid w:val="00C21233"/>
    <w:rsid w:val="00C22E0D"/>
    <w:rsid w:val="00C253D1"/>
    <w:rsid w:val="00C3044E"/>
    <w:rsid w:val="00C31692"/>
    <w:rsid w:val="00C33CA1"/>
    <w:rsid w:val="00C379FC"/>
    <w:rsid w:val="00C40141"/>
    <w:rsid w:val="00C41D57"/>
    <w:rsid w:val="00C44A6A"/>
    <w:rsid w:val="00C560D6"/>
    <w:rsid w:val="00C568E2"/>
    <w:rsid w:val="00C64061"/>
    <w:rsid w:val="00C667B7"/>
    <w:rsid w:val="00C66E27"/>
    <w:rsid w:val="00C71456"/>
    <w:rsid w:val="00C76871"/>
    <w:rsid w:val="00C77555"/>
    <w:rsid w:val="00C82D29"/>
    <w:rsid w:val="00C83212"/>
    <w:rsid w:val="00C8722B"/>
    <w:rsid w:val="00C87B1F"/>
    <w:rsid w:val="00C955CA"/>
    <w:rsid w:val="00CA216C"/>
    <w:rsid w:val="00CA3CAA"/>
    <w:rsid w:val="00CB2239"/>
    <w:rsid w:val="00CB5707"/>
    <w:rsid w:val="00CB7157"/>
    <w:rsid w:val="00CC12B0"/>
    <w:rsid w:val="00CC5866"/>
    <w:rsid w:val="00CC5CAA"/>
    <w:rsid w:val="00CD05E9"/>
    <w:rsid w:val="00CE4F21"/>
    <w:rsid w:val="00CF1870"/>
    <w:rsid w:val="00CF1A0A"/>
    <w:rsid w:val="00CF4773"/>
    <w:rsid w:val="00CF4C61"/>
    <w:rsid w:val="00CF5170"/>
    <w:rsid w:val="00CF5482"/>
    <w:rsid w:val="00CF6DB0"/>
    <w:rsid w:val="00D05FAA"/>
    <w:rsid w:val="00D07134"/>
    <w:rsid w:val="00D11D90"/>
    <w:rsid w:val="00D1425C"/>
    <w:rsid w:val="00D17CDC"/>
    <w:rsid w:val="00D3175E"/>
    <w:rsid w:val="00D42A99"/>
    <w:rsid w:val="00D4433B"/>
    <w:rsid w:val="00D46D85"/>
    <w:rsid w:val="00D510F6"/>
    <w:rsid w:val="00D615EF"/>
    <w:rsid w:val="00D626A8"/>
    <w:rsid w:val="00D63854"/>
    <w:rsid w:val="00D644A6"/>
    <w:rsid w:val="00D67520"/>
    <w:rsid w:val="00D7723C"/>
    <w:rsid w:val="00D86509"/>
    <w:rsid w:val="00D97A9C"/>
    <w:rsid w:val="00DA0956"/>
    <w:rsid w:val="00DA2F7A"/>
    <w:rsid w:val="00DA4D1E"/>
    <w:rsid w:val="00DB079C"/>
    <w:rsid w:val="00DB3AFD"/>
    <w:rsid w:val="00DB69BC"/>
    <w:rsid w:val="00DC09DB"/>
    <w:rsid w:val="00DC13E2"/>
    <w:rsid w:val="00DD1BD4"/>
    <w:rsid w:val="00DD1DE5"/>
    <w:rsid w:val="00DD38D7"/>
    <w:rsid w:val="00DD53AB"/>
    <w:rsid w:val="00DE2151"/>
    <w:rsid w:val="00DE24A6"/>
    <w:rsid w:val="00DE4C59"/>
    <w:rsid w:val="00DE5013"/>
    <w:rsid w:val="00DF00B9"/>
    <w:rsid w:val="00DF718C"/>
    <w:rsid w:val="00E0201D"/>
    <w:rsid w:val="00E045CB"/>
    <w:rsid w:val="00E05ECC"/>
    <w:rsid w:val="00E06705"/>
    <w:rsid w:val="00E117AC"/>
    <w:rsid w:val="00E12968"/>
    <w:rsid w:val="00E15E0B"/>
    <w:rsid w:val="00E1657C"/>
    <w:rsid w:val="00E168EF"/>
    <w:rsid w:val="00E17AFA"/>
    <w:rsid w:val="00E2225C"/>
    <w:rsid w:val="00E26DEB"/>
    <w:rsid w:val="00E360D0"/>
    <w:rsid w:val="00E3779B"/>
    <w:rsid w:val="00E40707"/>
    <w:rsid w:val="00E40C4D"/>
    <w:rsid w:val="00E41014"/>
    <w:rsid w:val="00E44A0A"/>
    <w:rsid w:val="00E54176"/>
    <w:rsid w:val="00E549EB"/>
    <w:rsid w:val="00E649AA"/>
    <w:rsid w:val="00E66920"/>
    <w:rsid w:val="00E71DCC"/>
    <w:rsid w:val="00E72D0C"/>
    <w:rsid w:val="00E7728B"/>
    <w:rsid w:val="00E9063D"/>
    <w:rsid w:val="00EA4948"/>
    <w:rsid w:val="00EB64D4"/>
    <w:rsid w:val="00EB71E5"/>
    <w:rsid w:val="00EB7F8D"/>
    <w:rsid w:val="00EC0ABE"/>
    <w:rsid w:val="00EC3198"/>
    <w:rsid w:val="00EC516F"/>
    <w:rsid w:val="00ED5DFB"/>
    <w:rsid w:val="00EE0226"/>
    <w:rsid w:val="00EF77E9"/>
    <w:rsid w:val="00F02F17"/>
    <w:rsid w:val="00F0484C"/>
    <w:rsid w:val="00F1080D"/>
    <w:rsid w:val="00F129FE"/>
    <w:rsid w:val="00F1474F"/>
    <w:rsid w:val="00F22715"/>
    <w:rsid w:val="00F26826"/>
    <w:rsid w:val="00F4088F"/>
    <w:rsid w:val="00F44683"/>
    <w:rsid w:val="00F4564C"/>
    <w:rsid w:val="00F45CAC"/>
    <w:rsid w:val="00F5190F"/>
    <w:rsid w:val="00F54BF1"/>
    <w:rsid w:val="00F612CB"/>
    <w:rsid w:val="00F61ED8"/>
    <w:rsid w:val="00F62D84"/>
    <w:rsid w:val="00F63A2F"/>
    <w:rsid w:val="00F718C6"/>
    <w:rsid w:val="00F7451B"/>
    <w:rsid w:val="00F75782"/>
    <w:rsid w:val="00F8527E"/>
    <w:rsid w:val="00F86102"/>
    <w:rsid w:val="00F92104"/>
    <w:rsid w:val="00F93062"/>
    <w:rsid w:val="00F9342B"/>
    <w:rsid w:val="00F93471"/>
    <w:rsid w:val="00F944D7"/>
    <w:rsid w:val="00F94B39"/>
    <w:rsid w:val="00FA0018"/>
    <w:rsid w:val="00FA0612"/>
    <w:rsid w:val="00FA1177"/>
    <w:rsid w:val="00FA2964"/>
    <w:rsid w:val="00FA4145"/>
    <w:rsid w:val="00FA5A84"/>
    <w:rsid w:val="00FB0077"/>
    <w:rsid w:val="00FB08FC"/>
    <w:rsid w:val="00FB1AC2"/>
    <w:rsid w:val="00FB1DA9"/>
    <w:rsid w:val="00FB47D8"/>
    <w:rsid w:val="00FB61AB"/>
    <w:rsid w:val="00FB7FC7"/>
    <w:rsid w:val="00FC109C"/>
    <w:rsid w:val="00FC233D"/>
    <w:rsid w:val="00FC2DE4"/>
    <w:rsid w:val="00FC568A"/>
    <w:rsid w:val="00FC5F58"/>
    <w:rsid w:val="00FC7FDF"/>
    <w:rsid w:val="00FD48BA"/>
    <w:rsid w:val="00FE204E"/>
    <w:rsid w:val="00FE40E6"/>
    <w:rsid w:val="00FE5D16"/>
    <w:rsid w:val="00FF0CB4"/>
    <w:rsid w:val="00FF263D"/>
    <w:rsid w:val="00FF3298"/>
    <w:rsid w:val="00FF6533"/>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9C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621"/>
    <w:pPr>
      <w:suppressAutoHyphens/>
    </w:pPr>
    <w:rPr>
      <w:sz w:val="24"/>
      <w:lang w:val="en-GB" w:eastAsia="fr-FR"/>
    </w:rPr>
  </w:style>
  <w:style w:type="paragraph" w:styleId="Heading1">
    <w:name w:val="heading 1"/>
    <w:basedOn w:val="Normal"/>
    <w:next w:val="Normal"/>
    <w:qFormat/>
    <w:rsid w:val="006D0621"/>
    <w:pPr>
      <w:keepNext/>
      <w:spacing w:before="360" w:after="240"/>
      <w:jc w:val="center"/>
      <w:outlineLvl w:val="0"/>
    </w:pPr>
    <w:rPr>
      <w:b/>
      <w:sz w:val="28"/>
    </w:rPr>
  </w:style>
  <w:style w:type="paragraph" w:styleId="Heading2">
    <w:name w:val="heading 2"/>
    <w:basedOn w:val="Normal"/>
    <w:next w:val="Normal"/>
    <w:qFormat/>
    <w:rsid w:val="006D0621"/>
    <w:pPr>
      <w:keepNext/>
      <w:spacing w:before="240" w:after="120"/>
      <w:ind w:left="284" w:hanging="284"/>
      <w:outlineLvl w:val="1"/>
    </w:pPr>
    <w:rPr>
      <w:b/>
    </w:rPr>
  </w:style>
  <w:style w:type="paragraph" w:styleId="Heading3">
    <w:name w:val="heading 3"/>
    <w:basedOn w:val="Normal"/>
    <w:next w:val="Normal"/>
    <w:qFormat/>
    <w:rsid w:val="006D0621"/>
    <w:pPr>
      <w:keepNext/>
      <w:spacing w:before="120" w:after="60"/>
      <w:ind w:left="1418" w:hanging="851"/>
      <w:outlineLvl w:val="2"/>
    </w:pPr>
    <w:rPr>
      <w:i/>
    </w:rPr>
  </w:style>
  <w:style w:type="paragraph" w:styleId="Heading4">
    <w:name w:val="heading 4"/>
    <w:basedOn w:val="Normal"/>
    <w:next w:val="Normal"/>
    <w:qFormat/>
    <w:rsid w:val="006D0621"/>
    <w:pPr>
      <w:widowControl w:val="0"/>
      <w:outlineLvl w:val="3"/>
    </w:pPr>
    <w:rPr>
      <w:rFonts w:ascii="Courier" w:hAnsi="Courier"/>
      <w:snapToGrid w:val="0"/>
      <w:lang w:val="en-US" w:eastAsia="en-US"/>
    </w:rPr>
  </w:style>
  <w:style w:type="paragraph" w:styleId="Heading5">
    <w:name w:val="heading 5"/>
    <w:basedOn w:val="Normal"/>
    <w:next w:val="Normal"/>
    <w:qFormat/>
    <w:rsid w:val="006D0621"/>
    <w:pPr>
      <w:widowControl w:val="0"/>
      <w:outlineLvl w:val="4"/>
    </w:pPr>
    <w:rPr>
      <w:rFonts w:ascii="Courier" w:hAnsi="Courier"/>
      <w:snapToGrid w:val="0"/>
      <w:lang w:val="en-US" w:eastAsia="en-US"/>
    </w:rPr>
  </w:style>
  <w:style w:type="paragraph" w:styleId="Heading6">
    <w:name w:val="heading 6"/>
    <w:basedOn w:val="Normal"/>
    <w:next w:val="Normal"/>
    <w:qFormat/>
    <w:rsid w:val="006D0621"/>
    <w:pPr>
      <w:widowControl w:val="0"/>
      <w:outlineLvl w:val="5"/>
    </w:pPr>
    <w:rPr>
      <w:rFonts w:ascii="Courier" w:hAnsi="Courier"/>
      <w:snapToGrid w:val="0"/>
      <w:lang w:val="en-US" w:eastAsia="en-US"/>
    </w:rPr>
  </w:style>
  <w:style w:type="paragraph" w:styleId="Heading7">
    <w:name w:val="heading 7"/>
    <w:basedOn w:val="Normal"/>
    <w:next w:val="Normal"/>
    <w:qFormat/>
    <w:rsid w:val="006D0621"/>
    <w:pPr>
      <w:widowControl w:val="0"/>
      <w:outlineLvl w:val="6"/>
    </w:pPr>
    <w:rPr>
      <w:rFonts w:ascii="Courier" w:hAnsi="Courier"/>
      <w:snapToGrid w:val="0"/>
      <w:lang w:val="en-US" w:eastAsia="en-US"/>
    </w:rPr>
  </w:style>
  <w:style w:type="paragraph" w:styleId="Heading8">
    <w:name w:val="heading 8"/>
    <w:basedOn w:val="Normal"/>
    <w:next w:val="Normal"/>
    <w:qFormat/>
    <w:rsid w:val="006D0621"/>
    <w:pPr>
      <w:widowControl w:val="0"/>
      <w:outlineLvl w:val="7"/>
    </w:pPr>
    <w:rPr>
      <w:rFonts w:ascii="Courier" w:hAnsi="Courier"/>
      <w:snapToGrid w:val="0"/>
      <w:lang w:val="en-US" w:eastAsia="en-US"/>
    </w:rPr>
  </w:style>
  <w:style w:type="paragraph" w:styleId="Heading9">
    <w:name w:val="heading 9"/>
    <w:basedOn w:val="Normal"/>
    <w:next w:val="Normal"/>
    <w:qFormat/>
    <w:rsid w:val="006D0621"/>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F718C6"/>
    <w:pPr>
      <w:tabs>
        <w:tab w:val="clear" w:pos="357"/>
      </w:tabs>
    </w:pPr>
    <w:rPr>
      <w:b/>
    </w:rPr>
  </w:style>
  <w:style w:type="paragraph" w:customStyle="1" w:styleId="JuHIRoman">
    <w:name w:val="Ju_H_I_Roman"/>
    <w:basedOn w:val="JuHHead"/>
    <w:next w:val="JuPara"/>
    <w:rsid w:val="00F718C6"/>
    <w:pPr>
      <w:tabs>
        <w:tab w:val="left" w:pos="357"/>
      </w:tabs>
      <w:spacing w:before="360"/>
      <w:ind w:left="357" w:hanging="357"/>
      <w:outlineLvl w:val="1"/>
    </w:pPr>
    <w:rPr>
      <w:sz w:val="24"/>
    </w:rPr>
  </w:style>
  <w:style w:type="paragraph" w:customStyle="1" w:styleId="JuHHead">
    <w:name w:val="Ju_H_Head"/>
    <w:basedOn w:val="NormalTimesNewRoman"/>
    <w:next w:val="JuPara"/>
    <w:rsid w:val="00F718C6"/>
    <w:pPr>
      <w:keepNext/>
      <w:keepLines/>
      <w:spacing w:before="720" w:after="240"/>
      <w:jc w:val="both"/>
      <w:outlineLvl w:val="0"/>
    </w:pPr>
    <w:rPr>
      <w:sz w:val="28"/>
    </w:rPr>
  </w:style>
  <w:style w:type="paragraph" w:customStyle="1" w:styleId="NormalTimesNewRoman">
    <w:name w:val="Normal_TimesNewRoman"/>
    <w:rsid w:val="00F718C6"/>
    <w:rPr>
      <w:sz w:val="24"/>
      <w:lang w:val="en-GB" w:eastAsia="fr-FR"/>
    </w:rPr>
  </w:style>
  <w:style w:type="paragraph" w:customStyle="1" w:styleId="JuPara">
    <w:name w:val="Ju_Para"/>
    <w:basedOn w:val="NormalTimesNewRoman"/>
    <w:link w:val="JuParaChar"/>
    <w:rsid w:val="00F718C6"/>
    <w:pPr>
      <w:ind w:firstLine="284"/>
      <w:jc w:val="both"/>
    </w:pPr>
  </w:style>
  <w:style w:type="character" w:customStyle="1" w:styleId="JuParaChar">
    <w:name w:val="Ju_Para Char"/>
    <w:link w:val="JuPara"/>
    <w:rsid w:val="006D0621"/>
    <w:rPr>
      <w:sz w:val="24"/>
      <w:lang w:val="en-GB" w:eastAsia="fr-FR"/>
    </w:rPr>
  </w:style>
  <w:style w:type="paragraph" w:customStyle="1" w:styleId="OpiPara">
    <w:name w:val="Opi_Para"/>
    <w:basedOn w:val="JuPara"/>
    <w:rsid w:val="00F718C6"/>
  </w:style>
  <w:style w:type="character" w:customStyle="1" w:styleId="DefaultTimesNewRoman">
    <w:name w:val="Default_TimesNewRoman"/>
    <w:rsid w:val="00F718C6"/>
    <w:rPr>
      <w:rFonts w:ascii="Times New Roman" w:hAnsi="Times New Roman"/>
    </w:rPr>
  </w:style>
  <w:style w:type="paragraph" w:customStyle="1" w:styleId="OpiH1">
    <w:name w:val="Opi_H_1."/>
    <w:basedOn w:val="OpiHA"/>
    <w:next w:val="OpiPara"/>
    <w:rsid w:val="00F718C6"/>
    <w:pPr>
      <w:spacing w:before="240" w:after="120"/>
      <w:ind w:left="635"/>
      <w:outlineLvl w:val="2"/>
    </w:pPr>
    <w:rPr>
      <w:b w:val="0"/>
      <w:i/>
    </w:rPr>
  </w:style>
  <w:style w:type="paragraph" w:customStyle="1" w:styleId="OpiHa0">
    <w:name w:val="Opi_H_a"/>
    <w:basedOn w:val="OpiH1"/>
    <w:next w:val="OpiPara"/>
    <w:rsid w:val="00F718C6"/>
    <w:pPr>
      <w:ind w:left="833"/>
      <w:outlineLvl w:val="3"/>
    </w:pPr>
    <w:rPr>
      <w:b/>
      <w:i w:val="0"/>
      <w:sz w:val="20"/>
    </w:rPr>
  </w:style>
  <w:style w:type="paragraph" w:customStyle="1" w:styleId="OpiHHead">
    <w:name w:val="Opi_H_Head"/>
    <w:basedOn w:val="JuHHead"/>
    <w:next w:val="OpiPara"/>
    <w:rsid w:val="00F718C6"/>
    <w:pPr>
      <w:spacing w:before="0"/>
      <w:jc w:val="center"/>
    </w:pPr>
  </w:style>
  <w:style w:type="paragraph" w:customStyle="1" w:styleId="OpiHi">
    <w:name w:val="Opi_H_i"/>
    <w:basedOn w:val="OpiHa0"/>
    <w:next w:val="OpiPara"/>
    <w:rsid w:val="00F718C6"/>
    <w:pPr>
      <w:ind w:left="1037"/>
      <w:outlineLvl w:val="4"/>
    </w:pPr>
    <w:rPr>
      <w:b w:val="0"/>
      <w:i/>
    </w:rPr>
  </w:style>
  <w:style w:type="paragraph" w:styleId="Footer">
    <w:name w:val="footer"/>
    <w:basedOn w:val="NormalTimesNewRoman"/>
    <w:rsid w:val="00F718C6"/>
    <w:pPr>
      <w:tabs>
        <w:tab w:val="center" w:pos="3686"/>
        <w:tab w:val="right" w:pos="7371"/>
      </w:tabs>
    </w:pPr>
    <w:rPr>
      <w:sz w:val="18"/>
    </w:rPr>
  </w:style>
  <w:style w:type="paragraph" w:customStyle="1" w:styleId="JuJudges">
    <w:name w:val="Ju_Judges"/>
    <w:basedOn w:val="NormalTimesNewRoman"/>
    <w:link w:val="JuJudgesChar"/>
    <w:rsid w:val="00F718C6"/>
    <w:pPr>
      <w:tabs>
        <w:tab w:val="left" w:pos="567"/>
        <w:tab w:val="left" w:pos="1134"/>
      </w:tabs>
    </w:pPr>
  </w:style>
  <w:style w:type="character" w:customStyle="1" w:styleId="JuJudgesChar">
    <w:name w:val="Ju_Judges Char"/>
    <w:link w:val="JuJudges"/>
    <w:locked/>
    <w:rsid w:val="006D0621"/>
    <w:rPr>
      <w:sz w:val="24"/>
      <w:lang w:val="en-GB" w:eastAsia="fr-FR"/>
    </w:rPr>
  </w:style>
  <w:style w:type="paragraph" w:customStyle="1" w:styleId="JuHA">
    <w:name w:val="Ju_H_A"/>
    <w:basedOn w:val="JuHIRoman"/>
    <w:next w:val="JuPara"/>
    <w:rsid w:val="00F718C6"/>
    <w:pPr>
      <w:tabs>
        <w:tab w:val="clear" w:pos="357"/>
        <w:tab w:val="left" w:pos="584"/>
      </w:tabs>
      <w:ind w:left="584" w:hanging="352"/>
      <w:outlineLvl w:val="2"/>
    </w:pPr>
    <w:rPr>
      <w:b/>
    </w:rPr>
  </w:style>
  <w:style w:type="paragraph" w:customStyle="1" w:styleId="JuQuot">
    <w:name w:val="Ju_Quot"/>
    <w:basedOn w:val="JuPara"/>
    <w:rsid w:val="00F718C6"/>
    <w:pPr>
      <w:spacing w:before="120" w:after="120"/>
      <w:ind w:left="425" w:firstLine="142"/>
    </w:pPr>
    <w:rPr>
      <w:sz w:val="20"/>
    </w:rPr>
  </w:style>
  <w:style w:type="paragraph" w:customStyle="1" w:styleId="JuSigned">
    <w:name w:val="Ju_Signed"/>
    <w:basedOn w:val="NormalTimesNewRoman"/>
    <w:next w:val="JuParaLast"/>
    <w:link w:val="JuSignedChar"/>
    <w:rsid w:val="00F718C6"/>
    <w:pPr>
      <w:tabs>
        <w:tab w:val="center" w:pos="851"/>
        <w:tab w:val="center" w:pos="6407"/>
      </w:tabs>
      <w:spacing w:before="720"/>
    </w:pPr>
  </w:style>
  <w:style w:type="paragraph" w:customStyle="1" w:styleId="JuParaLast">
    <w:name w:val="Ju_Para_Last"/>
    <w:basedOn w:val="JuPara"/>
    <w:next w:val="JuPara"/>
    <w:rsid w:val="00F718C6"/>
    <w:pPr>
      <w:keepNext/>
      <w:keepLines/>
      <w:spacing w:before="240"/>
    </w:pPr>
  </w:style>
  <w:style w:type="character" w:customStyle="1" w:styleId="JuSignedChar">
    <w:name w:val="Ju_Signed Char"/>
    <w:link w:val="JuSigned"/>
    <w:rsid w:val="006D0621"/>
    <w:rPr>
      <w:sz w:val="24"/>
      <w:lang w:val="en-GB" w:eastAsia="fr-FR"/>
    </w:rPr>
  </w:style>
  <w:style w:type="paragraph" w:customStyle="1" w:styleId="JuCase">
    <w:name w:val="Ju_Case"/>
    <w:basedOn w:val="JuPara"/>
    <w:next w:val="JuPara"/>
    <w:link w:val="JuCaseChar"/>
    <w:rsid w:val="00F718C6"/>
    <w:rPr>
      <w:b/>
    </w:rPr>
  </w:style>
  <w:style w:type="character" w:customStyle="1" w:styleId="JuCaseChar">
    <w:name w:val="Ju_Case Char"/>
    <w:link w:val="JuCase"/>
    <w:rsid w:val="006D0621"/>
    <w:rPr>
      <w:b/>
      <w:sz w:val="24"/>
      <w:lang w:val="en-GB" w:eastAsia="fr-FR"/>
    </w:rPr>
  </w:style>
  <w:style w:type="paragraph" w:customStyle="1" w:styleId="JuList">
    <w:name w:val="Ju_List"/>
    <w:basedOn w:val="JuPara"/>
    <w:link w:val="JuListChar"/>
    <w:rsid w:val="00F718C6"/>
    <w:pPr>
      <w:ind w:left="340" w:hanging="340"/>
    </w:pPr>
  </w:style>
  <w:style w:type="character" w:customStyle="1" w:styleId="JuListChar">
    <w:name w:val="Ju_List Char"/>
    <w:link w:val="JuList"/>
    <w:rsid w:val="006D0621"/>
    <w:rPr>
      <w:sz w:val="24"/>
      <w:lang w:val="en-GB" w:eastAsia="fr-FR"/>
    </w:rPr>
  </w:style>
  <w:style w:type="paragraph" w:customStyle="1" w:styleId="JuHArticle">
    <w:name w:val="Ju_H_Article"/>
    <w:basedOn w:val="JuHa0"/>
    <w:next w:val="JuQuot"/>
    <w:rsid w:val="00F718C6"/>
    <w:pPr>
      <w:ind w:left="0" w:firstLine="0"/>
      <w:jc w:val="center"/>
    </w:pPr>
  </w:style>
  <w:style w:type="paragraph" w:customStyle="1" w:styleId="JuHa0">
    <w:name w:val="Ju_H_a"/>
    <w:basedOn w:val="JuH1"/>
    <w:next w:val="JuPara"/>
    <w:rsid w:val="00F718C6"/>
    <w:pPr>
      <w:tabs>
        <w:tab w:val="clear" w:pos="731"/>
        <w:tab w:val="left" w:pos="975"/>
      </w:tabs>
      <w:ind w:left="975" w:hanging="340"/>
      <w:outlineLvl w:val="4"/>
    </w:pPr>
    <w:rPr>
      <w:b/>
      <w:i w:val="0"/>
      <w:sz w:val="20"/>
    </w:rPr>
  </w:style>
  <w:style w:type="paragraph" w:customStyle="1" w:styleId="JuH1">
    <w:name w:val="Ju_H_1."/>
    <w:basedOn w:val="JuHA"/>
    <w:next w:val="JuPara"/>
    <w:rsid w:val="00F718C6"/>
    <w:pPr>
      <w:tabs>
        <w:tab w:val="clear" w:pos="584"/>
        <w:tab w:val="left" w:pos="731"/>
      </w:tabs>
      <w:spacing w:before="240" w:after="120"/>
      <w:ind w:left="732" w:hanging="301"/>
      <w:outlineLvl w:val="3"/>
    </w:pPr>
    <w:rPr>
      <w:b w:val="0"/>
      <w:i/>
    </w:rPr>
  </w:style>
  <w:style w:type="paragraph" w:customStyle="1" w:styleId="JuQuotList">
    <w:name w:val="Ju_Quot_List"/>
    <w:basedOn w:val="JuQuot"/>
    <w:rsid w:val="006D0621"/>
    <w:pPr>
      <w:tabs>
        <w:tab w:val="left" w:pos="1021"/>
      </w:tabs>
      <w:ind w:left="567" w:firstLine="0"/>
    </w:pPr>
  </w:style>
  <w:style w:type="paragraph" w:customStyle="1" w:styleId="JuCourt">
    <w:name w:val="Ju_Court"/>
    <w:basedOn w:val="JuJudges"/>
    <w:rsid w:val="00F718C6"/>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F718C6"/>
  </w:style>
  <w:style w:type="paragraph" w:customStyle="1" w:styleId="OpiTranslation">
    <w:name w:val="Opi_Translation"/>
    <w:basedOn w:val="OpiHHead"/>
    <w:next w:val="OpiPara"/>
    <w:rsid w:val="00F718C6"/>
    <w:rPr>
      <w:i/>
      <w:sz w:val="24"/>
    </w:rPr>
  </w:style>
  <w:style w:type="paragraph" w:customStyle="1" w:styleId="JuHi">
    <w:name w:val="Ju_H_i"/>
    <w:basedOn w:val="JuHa0"/>
    <w:next w:val="JuPara"/>
    <w:rsid w:val="00F718C6"/>
    <w:pPr>
      <w:tabs>
        <w:tab w:val="clear" w:pos="975"/>
        <w:tab w:val="left" w:pos="1191"/>
      </w:tabs>
      <w:ind w:left="1190" w:hanging="357"/>
      <w:outlineLvl w:val="5"/>
    </w:pPr>
    <w:rPr>
      <w:b w:val="0"/>
      <w:i/>
    </w:rPr>
  </w:style>
  <w:style w:type="paragraph" w:styleId="Header">
    <w:name w:val="header"/>
    <w:basedOn w:val="NormalTimesNewRoman"/>
    <w:rsid w:val="00F718C6"/>
    <w:pPr>
      <w:tabs>
        <w:tab w:val="center" w:pos="3686"/>
        <w:tab w:val="right" w:pos="7371"/>
      </w:tabs>
    </w:pPr>
    <w:rPr>
      <w:sz w:val="18"/>
    </w:rPr>
  </w:style>
  <w:style w:type="character" w:styleId="PageNumber">
    <w:name w:val="page number"/>
    <w:rsid w:val="00F718C6"/>
    <w:rPr>
      <w:sz w:val="18"/>
    </w:rPr>
  </w:style>
  <w:style w:type="paragraph" w:customStyle="1" w:styleId="JuH">
    <w:name w:val="Ju_H_–"/>
    <w:basedOn w:val="JuHalpha"/>
    <w:next w:val="JuPara"/>
    <w:rsid w:val="00F718C6"/>
    <w:pPr>
      <w:tabs>
        <w:tab w:val="clear" w:pos="1372"/>
      </w:tabs>
      <w:ind w:left="1236" w:firstLine="0"/>
    </w:pPr>
    <w:rPr>
      <w:i/>
    </w:rPr>
  </w:style>
  <w:style w:type="paragraph" w:customStyle="1" w:styleId="JuHalpha">
    <w:name w:val="Ju_H_alpha"/>
    <w:basedOn w:val="JuHi"/>
    <w:next w:val="JuPara"/>
    <w:rsid w:val="00F718C6"/>
    <w:pPr>
      <w:tabs>
        <w:tab w:val="clear" w:pos="1191"/>
        <w:tab w:val="left" w:pos="1372"/>
      </w:tabs>
      <w:ind w:left="1373" w:hanging="335"/>
    </w:pPr>
    <w:rPr>
      <w:i w:val="0"/>
    </w:rPr>
  </w:style>
  <w:style w:type="paragraph" w:customStyle="1" w:styleId="JuLista">
    <w:name w:val="Ju_List_a"/>
    <w:basedOn w:val="JuList"/>
    <w:rsid w:val="00F718C6"/>
    <w:pPr>
      <w:ind w:left="346" w:firstLine="0"/>
    </w:pPr>
  </w:style>
  <w:style w:type="paragraph" w:customStyle="1" w:styleId="JuListi">
    <w:name w:val="Ju_List_i"/>
    <w:basedOn w:val="JuLista"/>
    <w:rsid w:val="00F718C6"/>
    <w:pPr>
      <w:ind w:left="794"/>
    </w:pPr>
  </w:style>
  <w:style w:type="character" w:styleId="CommentReference">
    <w:name w:val="annotation reference"/>
    <w:semiHidden/>
    <w:rsid w:val="006D0621"/>
    <w:rPr>
      <w:sz w:val="16"/>
    </w:rPr>
  </w:style>
  <w:style w:type="paragraph" w:styleId="CommentText">
    <w:name w:val="annotation text"/>
    <w:basedOn w:val="Normal"/>
    <w:semiHidden/>
    <w:rsid w:val="006D0621"/>
    <w:rPr>
      <w:sz w:val="20"/>
    </w:rPr>
  </w:style>
  <w:style w:type="paragraph" w:customStyle="1" w:styleId="JuInitialled">
    <w:name w:val="Ju_Initialled"/>
    <w:basedOn w:val="JuSigned"/>
    <w:rsid w:val="00F718C6"/>
    <w:pPr>
      <w:tabs>
        <w:tab w:val="clear" w:pos="851"/>
      </w:tabs>
      <w:jc w:val="right"/>
    </w:pPr>
  </w:style>
  <w:style w:type="paragraph" w:customStyle="1" w:styleId="JuHeader">
    <w:name w:val="Ju_Header"/>
    <w:basedOn w:val="Header"/>
    <w:rsid w:val="00F718C6"/>
  </w:style>
  <w:style w:type="paragraph" w:customStyle="1" w:styleId="DecHTitle">
    <w:name w:val="Dec_H_Title"/>
    <w:basedOn w:val="NormalTimesNewRoman"/>
    <w:rsid w:val="00F718C6"/>
    <w:pPr>
      <w:spacing w:after="240"/>
      <w:jc w:val="center"/>
      <w:outlineLvl w:val="0"/>
    </w:pPr>
    <w:rPr>
      <w:sz w:val="28"/>
    </w:rPr>
  </w:style>
  <w:style w:type="paragraph" w:customStyle="1" w:styleId="DecHCase">
    <w:name w:val="Dec_H_Case"/>
    <w:basedOn w:val="DecHTitle"/>
    <w:next w:val="JuPara"/>
    <w:rsid w:val="00F718C6"/>
    <w:rPr>
      <w:sz w:val="24"/>
    </w:rPr>
  </w:style>
  <w:style w:type="paragraph" w:customStyle="1" w:styleId="DecList">
    <w:name w:val="Dec_List"/>
    <w:basedOn w:val="NormalTimesNewRoman"/>
    <w:rsid w:val="00F718C6"/>
    <w:pPr>
      <w:spacing w:before="240"/>
      <w:ind w:left="284"/>
      <w:jc w:val="both"/>
    </w:pPr>
  </w:style>
  <w:style w:type="paragraph" w:customStyle="1" w:styleId="JuParaSub">
    <w:name w:val="Ju_Para_Sub"/>
    <w:basedOn w:val="JuPara"/>
    <w:rsid w:val="00F718C6"/>
    <w:pPr>
      <w:ind w:left="284"/>
    </w:pPr>
    <w:rPr>
      <w:szCs w:val="24"/>
    </w:rPr>
  </w:style>
  <w:style w:type="paragraph" w:customStyle="1" w:styleId="JuQuotSub">
    <w:name w:val="Ju_Quot_Sub"/>
    <w:basedOn w:val="JuQuot"/>
    <w:rsid w:val="00F718C6"/>
    <w:pPr>
      <w:ind w:left="567"/>
    </w:pPr>
  </w:style>
  <w:style w:type="paragraph" w:styleId="BalloonText">
    <w:name w:val="Balloon Text"/>
    <w:basedOn w:val="Normal"/>
    <w:semiHidden/>
    <w:rsid w:val="006D0621"/>
    <w:rPr>
      <w:rFonts w:ascii="Tahoma" w:hAnsi="Tahoma" w:cs="Tahoma"/>
      <w:sz w:val="16"/>
      <w:szCs w:val="16"/>
    </w:rPr>
  </w:style>
  <w:style w:type="character" w:styleId="FollowedHyperlink">
    <w:name w:val="FollowedHyperlink"/>
    <w:rsid w:val="00F718C6"/>
    <w:rPr>
      <w:color w:val="800080"/>
      <w:u w:val="single"/>
    </w:rPr>
  </w:style>
  <w:style w:type="paragraph" w:customStyle="1" w:styleId="SuCoverTitle1">
    <w:name w:val="Su_Cover_Title1"/>
    <w:basedOn w:val="Normal"/>
    <w:next w:val="SuCoverTitle2"/>
    <w:rsid w:val="006D0621"/>
    <w:pPr>
      <w:spacing w:before="2500"/>
      <w:jc w:val="center"/>
    </w:pPr>
    <w:rPr>
      <w:sz w:val="22"/>
    </w:rPr>
  </w:style>
  <w:style w:type="paragraph" w:customStyle="1" w:styleId="SuCoverTitle2">
    <w:name w:val="Su_Cover_Title2"/>
    <w:basedOn w:val="SuCoverTitle1"/>
    <w:next w:val="Normal"/>
    <w:rsid w:val="006D0621"/>
    <w:pPr>
      <w:spacing w:before="240"/>
    </w:pPr>
    <w:rPr>
      <w:sz w:val="18"/>
    </w:rPr>
  </w:style>
  <w:style w:type="paragraph" w:customStyle="1" w:styleId="SuPara">
    <w:name w:val="Su_Para"/>
    <w:basedOn w:val="SuKeywords"/>
    <w:rsid w:val="006D0621"/>
    <w:pPr>
      <w:spacing w:before="0" w:after="0"/>
    </w:pPr>
    <w:rPr>
      <w:i w:val="0"/>
    </w:rPr>
  </w:style>
  <w:style w:type="paragraph" w:customStyle="1" w:styleId="SuKeywords">
    <w:name w:val="Su_Keywords"/>
    <w:basedOn w:val="SuHHead"/>
    <w:rsid w:val="006D0621"/>
    <w:pPr>
      <w:spacing w:before="120"/>
    </w:pPr>
    <w:rPr>
      <w:b w:val="0"/>
      <w:i/>
    </w:rPr>
  </w:style>
  <w:style w:type="paragraph" w:customStyle="1" w:styleId="SuHHead">
    <w:name w:val="Su_H_Head"/>
    <w:basedOn w:val="SuSubject"/>
    <w:rsid w:val="006D0621"/>
    <w:pPr>
      <w:spacing w:after="120"/>
    </w:pPr>
  </w:style>
  <w:style w:type="paragraph" w:customStyle="1" w:styleId="SuSubject">
    <w:name w:val="Su_Subject"/>
    <w:basedOn w:val="SuSummary"/>
    <w:rsid w:val="006D0621"/>
    <w:pPr>
      <w:suppressAutoHyphens w:val="0"/>
      <w:spacing w:before="360"/>
      <w:jc w:val="both"/>
    </w:pPr>
    <w:rPr>
      <w:b/>
      <w:sz w:val="22"/>
    </w:rPr>
  </w:style>
  <w:style w:type="paragraph" w:customStyle="1" w:styleId="SuSummary">
    <w:name w:val="Su_Summary"/>
    <w:basedOn w:val="Normal"/>
    <w:next w:val="SuSubject"/>
    <w:rsid w:val="006D0621"/>
    <w:pPr>
      <w:spacing w:after="240"/>
      <w:jc w:val="center"/>
    </w:pPr>
  </w:style>
  <w:style w:type="paragraph" w:customStyle="1" w:styleId="OpiParaSub">
    <w:name w:val="Opi_Para_Sub"/>
    <w:basedOn w:val="JuParaSub"/>
    <w:rsid w:val="00F718C6"/>
  </w:style>
  <w:style w:type="paragraph" w:customStyle="1" w:styleId="OpiQuotSub">
    <w:name w:val="Opi_Quot_Sub"/>
    <w:basedOn w:val="JuQuotSub"/>
    <w:rsid w:val="00F718C6"/>
  </w:style>
  <w:style w:type="character" w:styleId="Hyperlink">
    <w:name w:val="Hyperlink"/>
    <w:rsid w:val="00F718C6"/>
    <w:rPr>
      <w:color w:val="0000FF"/>
      <w:u w:val="single"/>
    </w:rPr>
  </w:style>
  <w:style w:type="character" w:styleId="Strong">
    <w:name w:val="Strong"/>
    <w:qFormat/>
    <w:rsid w:val="006D0621"/>
    <w:rPr>
      <w:b/>
      <w:bCs/>
    </w:rPr>
  </w:style>
  <w:style w:type="character" w:customStyle="1" w:styleId="JuNames">
    <w:name w:val="Ju_Names"/>
    <w:rsid w:val="00F718C6"/>
    <w:rPr>
      <w:smallCaps/>
    </w:rPr>
  </w:style>
  <w:style w:type="paragraph" w:customStyle="1" w:styleId="NormalJustified">
    <w:name w:val="Normal_Justified"/>
    <w:basedOn w:val="Normal"/>
    <w:rsid w:val="006D0621"/>
    <w:pPr>
      <w:jc w:val="both"/>
    </w:pPr>
  </w:style>
  <w:style w:type="paragraph" w:customStyle="1" w:styleId="JuAppQuestion">
    <w:name w:val="Ju_App_Question"/>
    <w:basedOn w:val="ListBullet"/>
    <w:rsid w:val="00F718C6"/>
    <w:pPr>
      <w:numPr>
        <w:numId w:val="6"/>
      </w:numPr>
      <w:suppressAutoHyphens w:val="0"/>
    </w:pPr>
    <w:rPr>
      <w:b/>
      <w:color w:val="333333"/>
    </w:rPr>
  </w:style>
  <w:style w:type="paragraph" w:styleId="ListBullet">
    <w:name w:val="List Bullet"/>
    <w:basedOn w:val="Normal"/>
    <w:rsid w:val="006D0621"/>
    <w:pPr>
      <w:numPr>
        <w:numId w:val="2"/>
      </w:numPr>
    </w:pPr>
  </w:style>
  <w:style w:type="character" w:customStyle="1" w:styleId="JuITMark">
    <w:name w:val="Ju_ITMark"/>
    <w:rsid w:val="00F718C6"/>
    <w:rPr>
      <w:rFonts w:ascii="Times New Roman" w:hAnsi="Times New Roman"/>
      <w:b w:val="0"/>
      <w:i w:val="0"/>
      <w:caps w:val="0"/>
      <w:smallCaps w:val="0"/>
      <w:strike w:val="0"/>
      <w:dstrike w:val="0"/>
      <w:vanish/>
      <w:color w:val="339966"/>
      <w:sz w:val="16"/>
      <w:szCs w:val="16"/>
      <w:u w:val="none"/>
      <w:vertAlign w:val="baseline"/>
      <w:lang w:val="fi-FI"/>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JuTitle">
    <w:name w:val="Ju_Title"/>
    <w:basedOn w:val="JuHHead"/>
    <w:next w:val="JuPara"/>
    <w:rsid w:val="00F718C6"/>
    <w:pPr>
      <w:jc w:val="center"/>
    </w:pPr>
    <w:rPr>
      <w:b/>
      <w:caps/>
      <w:sz w:val="24"/>
      <w:szCs w:val="24"/>
      <w:u w:val="single"/>
    </w:rPr>
  </w:style>
  <w:style w:type="character" w:customStyle="1" w:styleId="JuParaCar">
    <w:name w:val="Ju_Para Car"/>
    <w:rsid w:val="006D0621"/>
    <w:rPr>
      <w:sz w:val="24"/>
      <w:lang w:val="en-GB" w:eastAsia="fr-FR" w:bidi="ar-SA"/>
    </w:rPr>
  </w:style>
  <w:style w:type="character" w:customStyle="1" w:styleId="s23c0e944">
    <w:name w:val="s23c0e944"/>
    <w:basedOn w:val="DefaultParagraphFont"/>
    <w:rsid w:val="006D0621"/>
  </w:style>
  <w:style w:type="character" w:customStyle="1" w:styleId="wordhighlighted">
    <w:name w:val="wordhighlighted"/>
    <w:basedOn w:val="DefaultParagraphFont"/>
    <w:rsid w:val="006D0621"/>
  </w:style>
  <w:style w:type="paragraph" w:customStyle="1" w:styleId="s30eec3f8">
    <w:name w:val="s30eec3f8"/>
    <w:basedOn w:val="Normal"/>
    <w:rsid w:val="006D0621"/>
    <w:pPr>
      <w:suppressAutoHyphens w:val="0"/>
      <w:spacing w:before="100" w:beforeAutospacing="1" w:after="100" w:afterAutospacing="1"/>
    </w:pPr>
    <w:rPr>
      <w:rFonts w:eastAsia="MS Mincho"/>
      <w:szCs w:val="24"/>
      <w:lang w:eastAsia="ja-JP"/>
    </w:rPr>
  </w:style>
  <w:style w:type="character" w:customStyle="1" w:styleId="sb8d990e2">
    <w:name w:val="sb8d990e2"/>
    <w:basedOn w:val="DefaultParagraphFont"/>
    <w:rsid w:val="006D0621"/>
  </w:style>
  <w:style w:type="character" w:customStyle="1" w:styleId="wordhighlightedcurrentterm">
    <w:name w:val="wordhighlighted currentterm"/>
    <w:basedOn w:val="DefaultParagraphFont"/>
    <w:rsid w:val="006D0621"/>
  </w:style>
  <w:style w:type="character" w:customStyle="1" w:styleId="s6b621b36">
    <w:name w:val="s6b621b36"/>
    <w:basedOn w:val="DefaultParagraphFont"/>
    <w:rsid w:val="006D0621"/>
  </w:style>
  <w:style w:type="paragraph" w:customStyle="1" w:styleId="s9e9b0cd7">
    <w:name w:val="s9e9b0cd7"/>
    <w:basedOn w:val="Normal"/>
    <w:rsid w:val="006D0621"/>
    <w:pPr>
      <w:suppressAutoHyphens w:val="0"/>
      <w:spacing w:before="100" w:beforeAutospacing="1" w:after="100" w:afterAutospacing="1"/>
    </w:pPr>
    <w:rPr>
      <w:rFonts w:eastAsia="MS Mincho"/>
      <w:szCs w:val="24"/>
      <w:lang w:eastAsia="ja-JP"/>
    </w:rPr>
  </w:style>
  <w:style w:type="character" w:customStyle="1" w:styleId="sfbbfee58">
    <w:name w:val="sfbbfee58"/>
    <w:basedOn w:val="DefaultParagraphFont"/>
    <w:rsid w:val="006D0621"/>
  </w:style>
  <w:style w:type="paragraph" w:customStyle="1" w:styleId="Standardowyobserwacja">
    <w:name w:val="Standardowy obserwacja"/>
    <w:basedOn w:val="Normal"/>
    <w:link w:val="StandardowyobserwacjaZnak"/>
    <w:rsid w:val="006D0621"/>
    <w:pPr>
      <w:numPr>
        <w:numId w:val="4"/>
      </w:numPr>
      <w:tabs>
        <w:tab w:val="left" w:pos="-720"/>
      </w:tabs>
      <w:spacing w:after="120" w:line="360" w:lineRule="auto"/>
      <w:jc w:val="both"/>
    </w:pPr>
    <w:rPr>
      <w:spacing w:val="-3"/>
      <w:lang w:eastAsia="pl-PL"/>
    </w:rPr>
  </w:style>
  <w:style w:type="character" w:customStyle="1" w:styleId="StandardowyobserwacjaZnak">
    <w:name w:val="Standardowy obserwacja Znak"/>
    <w:link w:val="Standardowyobserwacja"/>
    <w:rsid w:val="006D0621"/>
    <w:rPr>
      <w:spacing w:val="-3"/>
      <w:sz w:val="24"/>
      <w:lang w:val="en-GB" w:eastAsia="pl-PL" w:bidi="ar-SA"/>
    </w:rPr>
  </w:style>
  <w:style w:type="character" w:customStyle="1" w:styleId="ju-005fpara-002cleft-002cfirst-0020line-003a-0020-00200-0020cm--char">
    <w:name w:val="ju-005fpara-002cleft-002cfirst-0020line-003a-0020-00200-0020cm--char"/>
    <w:basedOn w:val="DefaultParagraphFont"/>
    <w:rsid w:val="006D0621"/>
  </w:style>
  <w:style w:type="character" w:customStyle="1" w:styleId="ju-005fpara--char">
    <w:name w:val="ju-005fpara--char"/>
    <w:basedOn w:val="DefaultParagraphFont"/>
    <w:rsid w:val="006D0621"/>
  </w:style>
  <w:style w:type="character" w:customStyle="1" w:styleId="s1a844bc0">
    <w:name w:val="s1a844bc0"/>
    <w:basedOn w:val="DefaultParagraphFont"/>
    <w:rsid w:val="006D0621"/>
  </w:style>
  <w:style w:type="character" w:customStyle="1" w:styleId="ju-005fquot--char">
    <w:name w:val="ju-005fquot--char"/>
    <w:basedOn w:val="DefaultParagraphFont"/>
    <w:rsid w:val="006D0621"/>
  </w:style>
  <w:style w:type="paragraph" w:styleId="FootnoteText">
    <w:name w:val="footnote text"/>
    <w:basedOn w:val="Normal"/>
    <w:link w:val="FootnoteTextChar"/>
    <w:rsid w:val="00F718C6"/>
    <w:pPr>
      <w:jc w:val="both"/>
    </w:pPr>
    <w:rPr>
      <w:sz w:val="20"/>
    </w:rPr>
  </w:style>
  <w:style w:type="character" w:customStyle="1" w:styleId="FootnoteTextChar">
    <w:name w:val="Footnote Text Char"/>
    <w:link w:val="FootnoteText"/>
    <w:rsid w:val="000E1EED"/>
    <w:rPr>
      <w:lang w:val="en-GB" w:eastAsia="fr-FR"/>
    </w:rPr>
  </w:style>
  <w:style w:type="character" w:styleId="FootnoteReference">
    <w:name w:val="footnote reference"/>
    <w:rsid w:val="00F718C6"/>
    <w:rPr>
      <w:vertAlign w:val="superscript"/>
    </w:rPr>
  </w:style>
  <w:style w:type="character" w:styleId="EndnoteReference">
    <w:name w:val="endnote reference"/>
    <w:rsid w:val="00F718C6"/>
    <w:rPr>
      <w:vertAlign w:val="superscript"/>
    </w:rPr>
  </w:style>
  <w:style w:type="paragraph" w:styleId="EndnoteText">
    <w:name w:val="endnote text"/>
    <w:basedOn w:val="Normal"/>
    <w:link w:val="EndnoteTextChar"/>
    <w:rsid w:val="00F718C6"/>
    <w:rPr>
      <w:sz w:val="20"/>
    </w:rPr>
  </w:style>
  <w:style w:type="character" w:customStyle="1" w:styleId="EndnoteTextChar">
    <w:name w:val="Endnote Text Char"/>
    <w:link w:val="EndnoteText"/>
    <w:rsid w:val="001E0DCB"/>
    <w:rPr>
      <w:lang w:val="en-GB" w:eastAsia="fr-FR"/>
    </w:rPr>
  </w:style>
  <w:style w:type="paragraph" w:customStyle="1" w:styleId="jupara0">
    <w:name w:val="jupara"/>
    <w:basedOn w:val="Normal"/>
    <w:rsid w:val="0017292E"/>
    <w:pPr>
      <w:suppressAutoHyphens w:val="0"/>
      <w:ind w:firstLine="284"/>
      <w:jc w:val="both"/>
    </w:pPr>
    <w:rPr>
      <w:szCs w:val="24"/>
      <w:lang w:eastAsia="en-GB"/>
    </w:rPr>
  </w:style>
  <w:style w:type="paragraph" w:customStyle="1" w:styleId="jucase0">
    <w:name w:val="jucase"/>
    <w:basedOn w:val="Normal"/>
    <w:rsid w:val="0017292E"/>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80408">
      <w:bodyDiv w:val="1"/>
      <w:marLeft w:val="0"/>
      <w:marRight w:val="0"/>
      <w:marTop w:val="0"/>
      <w:marBottom w:val="0"/>
      <w:divBdr>
        <w:top w:val="none" w:sz="0" w:space="0" w:color="auto"/>
        <w:left w:val="none" w:sz="0" w:space="0" w:color="auto"/>
        <w:bottom w:val="none" w:sz="0" w:space="0" w:color="auto"/>
        <w:right w:val="none" w:sz="0" w:space="0" w:color="auto"/>
      </w:divBdr>
      <w:divsChild>
        <w:div w:id="352727864">
          <w:marLeft w:val="0"/>
          <w:marRight w:val="0"/>
          <w:marTop w:val="0"/>
          <w:marBottom w:val="0"/>
          <w:divBdr>
            <w:top w:val="none" w:sz="0" w:space="0" w:color="auto"/>
            <w:left w:val="none" w:sz="0" w:space="0" w:color="auto"/>
            <w:bottom w:val="none" w:sz="0" w:space="0" w:color="auto"/>
            <w:right w:val="none" w:sz="0" w:space="0" w:color="auto"/>
          </w:divBdr>
          <w:divsChild>
            <w:div w:id="1356346362">
              <w:marLeft w:val="0"/>
              <w:marRight w:val="0"/>
              <w:marTop w:val="0"/>
              <w:marBottom w:val="0"/>
              <w:divBdr>
                <w:top w:val="none" w:sz="0" w:space="0" w:color="auto"/>
                <w:left w:val="none" w:sz="0" w:space="0" w:color="auto"/>
                <w:bottom w:val="none" w:sz="0" w:space="0" w:color="auto"/>
                <w:right w:val="none" w:sz="0" w:space="0" w:color="auto"/>
              </w:divBdr>
              <w:divsChild>
                <w:div w:id="311177498">
                  <w:marLeft w:val="0"/>
                  <w:marRight w:val="0"/>
                  <w:marTop w:val="0"/>
                  <w:marBottom w:val="0"/>
                  <w:divBdr>
                    <w:top w:val="none" w:sz="0" w:space="0" w:color="auto"/>
                    <w:left w:val="none" w:sz="0" w:space="0" w:color="auto"/>
                    <w:bottom w:val="none" w:sz="0" w:space="0" w:color="auto"/>
                    <w:right w:val="none" w:sz="0" w:space="0" w:color="auto"/>
                  </w:divBdr>
                  <w:divsChild>
                    <w:div w:id="965742326">
                      <w:marLeft w:val="0"/>
                      <w:marRight w:val="0"/>
                      <w:marTop w:val="0"/>
                      <w:marBottom w:val="0"/>
                      <w:divBdr>
                        <w:top w:val="none" w:sz="0" w:space="0" w:color="auto"/>
                        <w:left w:val="none" w:sz="0" w:space="0" w:color="auto"/>
                        <w:bottom w:val="none" w:sz="0" w:space="0" w:color="auto"/>
                        <w:right w:val="none" w:sz="0" w:space="0" w:color="auto"/>
                      </w:divBdr>
                      <w:divsChild>
                        <w:div w:id="1019158682">
                          <w:marLeft w:val="0"/>
                          <w:marRight w:val="0"/>
                          <w:marTop w:val="0"/>
                          <w:marBottom w:val="0"/>
                          <w:divBdr>
                            <w:top w:val="none" w:sz="0" w:space="0" w:color="auto"/>
                            <w:left w:val="none" w:sz="0" w:space="0" w:color="auto"/>
                            <w:bottom w:val="none" w:sz="0" w:space="0" w:color="auto"/>
                            <w:right w:val="none" w:sz="0" w:space="0" w:color="auto"/>
                          </w:divBdr>
                          <w:divsChild>
                            <w:div w:id="11935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3163">
      <w:bodyDiv w:val="1"/>
      <w:marLeft w:val="0"/>
      <w:marRight w:val="0"/>
      <w:marTop w:val="0"/>
      <w:marBottom w:val="0"/>
      <w:divBdr>
        <w:top w:val="none" w:sz="0" w:space="0" w:color="auto"/>
        <w:left w:val="none" w:sz="0" w:space="0" w:color="auto"/>
        <w:bottom w:val="none" w:sz="0" w:space="0" w:color="auto"/>
        <w:right w:val="none" w:sz="0" w:space="0" w:color="auto"/>
      </w:divBdr>
      <w:divsChild>
        <w:div w:id="2130933782">
          <w:marLeft w:val="0"/>
          <w:marRight w:val="0"/>
          <w:marTop w:val="0"/>
          <w:marBottom w:val="0"/>
          <w:divBdr>
            <w:top w:val="none" w:sz="0" w:space="0" w:color="auto"/>
            <w:left w:val="none" w:sz="0" w:space="0" w:color="auto"/>
            <w:bottom w:val="none" w:sz="0" w:space="0" w:color="auto"/>
            <w:right w:val="none" w:sz="0" w:space="0" w:color="auto"/>
          </w:divBdr>
          <w:divsChild>
            <w:div w:id="1545024355">
              <w:marLeft w:val="0"/>
              <w:marRight w:val="0"/>
              <w:marTop w:val="0"/>
              <w:marBottom w:val="0"/>
              <w:divBdr>
                <w:top w:val="none" w:sz="0" w:space="0" w:color="auto"/>
                <w:left w:val="none" w:sz="0" w:space="0" w:color="auto"/>
                <w:bottom w:val="none" w:sz="0" w:space="0" w:color="auto"/>
                <w:right w:val="none" w:sz="0" w:space="0" w:color="auto"/>
              </w:divBdr>
              <w:divsChild>
                <w:div w:id="932130381">
                  <w:marLeft w:val="0"/>
                  <w:marRight w:val="0"/>
                  <w:marTop w:val="0"/>
                  <w:marBottom w:val="0"/>
                  <w:divBdr>
                    <w:top w:val="none" w:sz="0" w:space="0" w:color="auto"/>
                    <w:left w:val="none" w:sz="0" w:space="0" w:color="auto"/>
                    <w:bottom w:val="none" w:sz="0" w:space="0" w:color="auto"/>
                    <w:right w:val="none" w:sz="0" w:space="0" w:color="auto"/>
                  </w:divBdr>
                  <w:divsChild>
                    <w:div w:id="869803259">
                      <w:marLeft w:val="0"/>
                      <w:marRight w:val="0"/>
                      <w:marTop w:val="0"/>
                      <w:marBottom w:val="0"/>
                      <w:divBdr>
                        <w:top w:val="none" w:sz="0" w:space="0" w:color="auto"/>
                        <w:left w:val="none" w:sz="0" w:space="0" w:color="auto"/>
                        <w:bottom w:val="none" w:sz="0" w:space="0" w:color="auto"/>
                        <w:right w:val="none" w:sz="0" w:space="0" w:color="auto"/>
                      </w:divBdr>
                      <w:divsChild>
                        <w:div w:id="1393776010">
                          <w:marLeft w:val="0"/>
                          <w:marRight w:val="0"/>
                          <w:marTop w:val="0"/>
                          <w:marBottom w:val="0"/>
                          <w:divBdr>
                            <w:top w:val="none" w:sz="0" w:space="0" w:color="auto"/>
                            <w:left w:val="none" w:sz="0" w:space="0" w:color="auto"/>
                            <w:bottom w:val="none" w:sz="0" w:space="0" w:color="auto"/>
                            <w:right w:val="none" w:sz="0" w:space="0" w:color="auto"/>
                          </w:divBdr>
                          <w:divsChild>
                            <w:div w:id="7274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76635">
      <w:bodyDiv w:val="1"/>
      <w:marLeft w:val="0"/>
      <w:marRight w:val="0"/>
      <w:marTop w:val="0"/>
      <w:marBottom w:val="0"/>
      <w:divBdr>
        <w:top w:val="none" w:sz="0" w:space="0" w:color="auto"/>
        <w:left w:val="none" w:sz="0" w:space="0" w:color="auto"/>
        <w:bottom w:val="none" w:sz="0" w:space="0" w:color="auto"/>
        <w:right w:val="none" w:sz="0" w:space="0" w:color="auto"/>
      </w:divBdr>
    </w:div>
    <w:div w:id="512719985">
      <w:bodyDiv w:val="1"/>
      <w:marLeft w:val="0"/>
      <w:marRight w:val="0"/>
      <w:marTop w:val="0"/>
      <w:marBottom w:val="0"/>
      <w:divBdr>
        <w:top w:val="none" w:sz="0" w:space="0" w:color="auto"/>
        <w:left w:val="none" w:sz="0" w:space="0" w:color="auto"/>
        <w:bottom w:val="none" w:sz="0" w:space="0" w:color="auto"/>
        <w:right w:val="none" w:sz="0" w:space="0" w:color="auto"/>
      </w:divBdr>
      <w:divsChild>
        <w:div w:id="1675574213">
          <w:marLeft w:val="0"/>
          <w:marRight w:val="0"/>
          <w:marTop w:val="0"/>
          <w:marBottom w:val="0"/>
          <w:divBdr>
            <w:top w:val="none" w:sz="0" w:space="0" w:color="auto"/>
            <w:left w:val="none" w:sz="0" w:space="0" w:color="auto"/>
            <w:bottom w:val="none" w:sz="0" w:space="0" w:color="auto"/>
            <w:right w:val="none" w:sz="0" w:space="0" w:color="auto"/>
          </w:divBdr>
          <w:divsChild>
            <w:div w:id="11347339">
              <w:marLeft w:val="0"/>
              <w:marRight w:val="0"/>
              <w:marTop w:val="0"/>
              <w:marBottom w:val="0"/>
              <w:divBdr>
                <w:top w:val="none" w:sz="0" w:space="0" w:color="auto"/>
                <w:left w:val="none" w:sz="0" w:space="0" w:color="auto"/>
                <w:bottom w:val="none" w:sz="0" w:space="0" w:color="auto"/>
                <w:right w:val="none" w:sz="0" w:space="0" w:color="auto"/>
              </w:divBdr>
              <w:divsChild>
                <w:div w:id="624696812">
                  <w:marLeft w:val="0"/>
                  <w:marRight w:val="0"/>
                  <w:marTop w:val="0"/>
                  <w:marBottom w:val="0"/>
                  <w:divBdr>
                    <w:top w:val="none" w:sz="0" w:space="0" w:color="auto"/>
                    <w:left w:val="none" w:sz="0" w:space="0" w:color="auto"/>
                    <w:bottom w:val="none" w:sz="0" w:space="0" w:color="auto"/>
                    <w:right w:val="none" w:sz="0" w:space="0" w:color="auto"/>
                  </w:divBdr>
                  <w:divsChild>
                    <w:div w:id="996418110">
                      <w:marLeft w:val="0"/>
                      <w:marRight w:val="0"/>
                      <w:marTop w:val="0"/>
                      <w:marBottom w:val="0"/>
                      <w:divBdr>
                        <w:top w:val="none" w:sz="0" w:space="0" w:color="auto"/>
                        <w:left w:val="none" w:sz="0" w:space="0" w:color="auto"/>
                        <w:bottom w:val="none" w:sz="0" w:space="0" w:color="auto"/>
                        <w:right w:val="none" w:sz="0" w:space="0" w:color="auto"/>
                      </w:divBdr>
                      <w:divsChild>
                        <w:div w:id="321593071">
                          <w:marLeft w:val="0"/>
                          <w:marRight w:val="0"/>
                          <w:marTop w:val="0"/>
                          <w:marBottom w:val="0"/>
                          <w:divBdr>
                            <w:top w:val="none" w:sz="0" w:space="0" w:color="auto"/>
                            <w:left w:val="none" w:sz="0" w:space="0" w:color="auto"/>
                            <w:bottom w:val="none" w:sz="0" w:space="0" w:color="auto"/>
                            <w:right w:val="none" w:sz="0" w:space="0" w:color="auto"/>
                          </w:divBdr>
                          <w:divsChild>
                            <w:div w:id="19706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11849">
      <w:bodyDiv w:val="1"/>
      <w:marLeft w:val="0"/>
      <w:marRight w:val="0"/>
      <w:marTop w:val="0"/>
      <w:marBottom w:val="0"/>
      <w:divBdr>
        <w:top w:val="none" w:sz="0" w:space="0" w:color="auto"/>
        <w:left w:val="none" w:sz="0" w:space="0" w:color="auto"/>
        <w:bottom w:val="none" w:sz="0" w:space="0" w:color="auto"/>
        <w:right w:val="none" w:sz="0" w:space="0" w:color="auto"/>
      </w:divBdr>
      <w:divsChild>
        <w:div w:id="521095583">
          <w:marLeft w:val="0"/>
          <w:marRight w:val="0"/>
          <w:marTop w:val="0"/>
          <w:marBottom w:val="0"/>
          <w:divBdr>
            <w:top w:val="none" w:sz="0" w:space="0" w:color="auto"/>
            <w:left w:val="none" w:sz="0" w:space="0" w:color="auto"/>
            <w:bottom w:val="none" w:sz="0" w:space="0" w:color="auto"/>
            <w:right w:val="none" w:sz="0" w:space="0" w:color="auto"/>
          </w:divBdr>
          <w:divsChild>
            <w:div w:id="622351153">
              <w:marLeft w:val="0"/>
              <w:marRight w:val="0"/>
              <w:marTop w:val="0"/>
              <w:marBottom w:val="0"/>
              <w:divBdr>
                <w:top w:val="none" w:sz="0" w:space="0" w:color="auto"/>
                <w:left w:val="none" w:sz="0" w:space="0" w:color="auto"/>
                <w:bottom w:val="none" w:sz="0" w:space="0" w:color="auto"/>
                <w:right w:val="none" w:sz="0" w:space="0" w:color="auto"/>
              </w:divBdr>
              <w:divsChild>
                <w:div w:id="1166897911">
                  <w:marLeft w:val="0"/>
                  <w:marRight w:val="0"/>
                  <w:marTop w:val="0"/>
                  <w:marBottom w:val="0"/>
                  <w:divBdr>
                    <w:top w:val="none" w:sz="0" w:space="0" w:color="auto"/>
                    <w:left w:val="none" w:sz="0" w:space="0" w:color="auto"/>
                    <w:bottom w:val="none" w:sz="0" w:space="0" w:color="auto"/>
                    <w:right w:val="none" w:sz="0" w:space="0" w:color="auto"/>
                  </w:divBdr>
                  <w:divsChild>
                    <w:div w:id="1451851426">
                      <w:marLeft w:val="0"/>
                      <w:marRight w:val="0"/>
                      <w:marTop w:val="0"/>
                      <w:marBottom w:val="0"/>
                      <w:divBdr>
                        <w:top w:val="none" w:sz="0" w:space="0" w:color="auto"/>
                        <w:left w:val="none" w:sz="0" w:space="0" w:color="auto"/>
                        <w:bottom w:val="none" w:sz="0" w:space="0" w:color="auto"/>
                        <w:right w:val="none" w:sz="0" w:space="0" w:color="auto"/>
                      </w:divBdr>
                      <w:divsChild>
                        <w:div w:id="2041935265">
                          <w:marLeft w:val="0"/>
                          <w:marRight w:val="0"/>
                          <w:marTop w:val="0"/>
                          <w:marBottom w:val="0"/>
                          <w:divBdr>
                            <w:top w:val="none" w:sz="0" w:space="0" w:color="auto"/>
                            <w:left w:val="none" w:sz="0" w:space="0" w:color="auto"/>
                            <w:bottom w:val="none" w:sz="0" w:space="0" w:color="auto"/>
                            <w:right w:val="none" w:sz="0" w:space="0" w:color="auto"/>
                          </w:divBdr>
                          <w:divsChild>
                            <w:div w:id="10798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71CDE-3B55-46DB-8BAD-966D54049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A30063-24F3-4F16-A684-B6C7DFE037BF}">
  <ds:schemaRefs>
    <ds:schemaRef ds:uri="http://schemas.openxmlformats.org/officeDocument/2006/bibliography"/>
  </ds:schemaRefs>
</ds:datastoreItem>
</file>

<file path=customXml/itemProps3.xml><?xml version="1.0" encoding="utf-8"?>
<ds:datastoreItem xmlns:ds="http://schemas.openxmlformats.org/officeDocument/2006/customXml" ds:itemID="{95B20F0F-E414-4033-A14B-D38FDD69B2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3CF5CA-ED9F-48C6-94F4-856EDBC3B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7343</Words>
  <Characters>40539</Characters>
  <Application>Microsoft Office Word</Application>
  <DocSecurity>0</DocSecurity>
  <Lines>779</Lines>
  <Paragraphs>170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47712</CharactersWithSpaces>
  <SharedDoc>false</SharedDoc>
  <HLinks>
    <vt:vector size="12" baseType="variant">
      <vt:variant>
        <vt:i4>6029431</vt:i4>
      </vt:variant>
      <vt:variant>
        <vt:i4>174</vt:i4>
      </vt:variant>
      <vt:variant>
        <vt:i4>0</vt:i4>
      </vt:variant>
      <vt:variant>
        <vt:i4>5</vt:i4>
      </vt:variant>
      <vt:variant>
        <vt:lpwstr>http://hudoc.echr.coe.int/sites/fra/Pages/search.aspx</vt:lpwstr>
      </vt:variant>
      <vt:variant>
        <vt:lpwstr>{</vt:lpwstr>
      </vt:variant>
      <vt:variant>
        <vt:i4>6029431</vt:i4>
      </vt:variant>
      <vt:variant>
        <vt:i4>171</vt:i4>
      </vt:variant>
      <vt:variant>
        <vt:i4>0</vt:i4>
      </vt:variant>
      <vt:variant>
        <vt:i4>5</vt:i4>
      </vt:variant>
      <vt:variant>
        <vt:lpwstr>http://hudoc.echr.coe.int/sites/fra/Pages/search.aspx</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cp:lastModifiedBy/>
  <cp:revision>1</cp:revision>
  <cp:lastPrinted>2013-05-31T15:14:00Z</cp:lastPrinted>
  <dcterms:created xsi:type="dcterms:W3CDTF">2021-03-10T17:07:00Z</dcterms:created>
  <dcterms:modified xsi:type="dcterms:W3CDTF">2021-03-18T20:24:00Z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